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A98D7" w14:textId="77777777" w:rsidR="003F158E" w:rsidRDefault="003F158E" w:rsidP="003F158E">
      <w:pPr>
        <w:pBdr>
          <w:bottom w:val="single" w:sz="12" w:space="1" w:color="auto"/>
        </w:pBdr>
        <w:rPr>
          <w:b/>
          <w:sz w:val="24"/>
          <w:szCs w:val="24"/>
        </w:rPr>
      </w:pPr>
      <w:bookmarkStart w:id="0" w:name="_Hlk32925299"/>
      <w:bookmarkEnd w:id="0"/>
    </w:p>
    <w:p w14:paraId="3AA676AD" w14:textId="77777777" w:rsidR="00D0340E" w:rsidRDefault="00D0340E" w:rsidP="003F158E">
      <w:pPr>
        <w:rPr>
          <w:bCs/>
          <w:sz w:val="24"/>
          <w:szCs w:val="24"/>
        </w:rPr>
      </w:pPr>
      <w:r w:rsidRPr="00D0340E">
        <w:rPr>
          <w:bCs/>
          <w:sz w:val="24"/>
          <w:szCs w:val="24"/>
        </w:rPr>
        <w:t xml:space="preserve">Datum: </w:t>
      </w:r>
      <w:r w:rsidR="00480C14">
        <w:rPr>
          <w:bCs/>
          <w:sz w:val="24"/>
          <w:szCs w:val="24"/>
        </w:rPr>
        <w:t xml:space="preserve">Marec </w:t>
      </w:r>
      <w:r w:rsidRPr="00D0340E">
        <w:rPr>
          <w:bCs/>
          <w:sz w:val="24"/>
          <w:szCs w:val="24"/>
        </w:rPr>
        <w:t>2020</w:t>
      </w:r>
    </w:p>
    <w:p w14:paraId="1F23AD61" w14:textId="77777777" w:rsidR="00667BC2" w:rsidRPr="00D0340E" w:rsidRDefault="00667BC2" w:rsidP="003F158E">
      <w:pPr>
        <w:rPr>
          <w:bCs/>
          <w:sz w:val="24"/>
          <w:szCs w:val="24"/>
        </w:rPr>
      </w:pPr>
    </w:p>
    <w:p w14:paraId="36BF369C" w14:textId="77777777" w:rsidR="003F158E" w:rsidRDefault="003F158E" w:rsidP="003F158E">
      <w:pPr>
        <w:jc w:val="center"/>
        <w:rPr>
          <w:b/>
          <w:sz w:val="36"/>
          <w:szCs w:val="36"/>
        </w:rPr>
      </w:pPr>
      <w:r>
        <w:rPr>
          <w:b/>
          <w:sz w:val="36"/>
          <w:szCs w:val="36"/>
        </w:rPr>
        <w:t>POROČILO O SPREMLJANJU SKLADNOSTI IN ZDRAVSTVENE USTREZNOSTI PITNE VODE</w:t>
      </w:r>
    </w:p>
    <w:p w14:paraId="609EC660" w14:textId="77777777" w:rsidR="003F158E" w:rsidRDefault="003F158E" w:rsidP="003F158E">
      <w:pPr>
        <w:pStyle w:val="Naslov2"/>
        <w:numPr>
          <w:ilvl w:val="1"/>
          <w:numId w:val="1"/>
        </w:numPr>
        <w:suppressAutoHyphens/>
        <w:jc w:val="center"/>
        <w:rPr>
          <w:b/>
          <w:sz w:val="36"/>
          <w:szCs w:val="36"/>
        </w:rPr>
      </w:pPr>
      <w:r>
        <w:rPr>
          <w:sz w:val="36"/>
          <w:szCs w:val="36"/>
        </w:rPr>
        <w:t>ZA LETO 201</w:t>
      </w:r>
      <w:r w:rsidR="001C49F2">
        <w:rPr>
          <w:sz w:val="36"/>
          <w:szCs w:val="36"/>
        </w:rPr>
        <w:t>9</w:t>
      </w:r>
    </w:p>
    <w:p w14:paraId="462D4A8F" w14:textId="77777777" w:rsidR="003F158E" w:rsidRDefault="003F158E" w:rsidP="003F158E">
      <w:pPr>
        <w:tabs>
          <w:tab w:val="left" w:pos="1120"/>
        </w:tabs>
        <w:jc w:val="center"/>
        <w:rPr>
          <w:b/>
          <w:bCs/>
          <w:sz w:val="32"/>
          <w:szCs w:val="32"/>
        </w:rPr>
      </w:pPr>
      <w:r>
        <w:rPr>
          <w:b/>
          <w:bCs/>
          <w:sz w:val="32"/>
          <w:szCs w:val="32"/>
        </w:rPr>
        <w:t>na sistemih oskrbe s pitno vodo</w:t>
      </w:r>
      <w:r w:rsidR="007C6385">
        <w:rPr>
          <w:b/>
          <w:bCs/>
          <w:sz w:val="32"/>
          <w:szCs w:val="32"/>
        </w:rPr>
        <w:t xml:space="preserve"> na območju</w:t>
      </w:r>
      <w:r w:rsidR="00F72401">
        <w:rPr>
          <w:b/>
          <w:bCs/>
          <w:sz w:val="32"/>
          <w:szCs w:val="32"/>
        </w:rPr>
        <w:t xml:space="preserve"> KS Gabrovka</w:t>
      </w:r>
      <w:r>
        <w:rPr>
          <w:b/>
          <w:bCs/>
          <w:sz w:val="32"/>
          <w:szCs w:val="32"/>
        </w:rPr>
        <w:t>, ki so v upravljanju KSP Litija d.o.o.</w:t>
      </w:r>
    </w:p>
    <w:p w14:paraId="52922930" w14:textId="77777777" w:rsidR="003F158E" w:rsidRDefault="003F158E" w:rsidP="003F158E">
      <w:pPr>
        <w:rPr>
          <w:sz w:val="24"/>
        </w:rPr>
      </w:pPr>
    </w:p>
    <w:p w14:paraId="4C42FD17" w14:textId="77777777" w:rsidR="003F158E" w:rsidRPr="000F751B" w:rsidRDefault="003F158E" w:rsidP="003F158E">
      <w:pPr>
        <w:pStyle w:val="Brezrazmikov"/>
        <w:jc w:val="both"/>
        <w:rPr>
          <w:szCs w:val="24"/>
        </w:rPr>
      </w:pPr>
      <w:r w:rsidRPr="000F751B">
        <w:rPr>
          <w:szCs w:val="24"/>
        </w:rPr>
        <w:t xml:space="preserve">Javno podjetje Komunalno stanovanjsko podjetje Litija, d.o.o. (v nadaljevanju: </w:t>
      </w:r>
      <w:r w:rsidRPr="008D4F77">
        <w:rPr>
          <w:bCs/>
          <w:szCs w:val="24"/>
        </w:rPr>
        <w:t>upravljavec</w:t>
      </w:r>
      <w:r w:rsidRPr="000F751B">
        <w:rPr>
          <w:szCs w:val="24"/>
        </w:rPr>
        <w:t xml:space="preserve">) zagotavlja nadzor nad skladnostjo in zdravstveno ustreznostjo pitne vode v okviru </w:t>
      </w:r>
      <w:r w:rsidRPr="008D4F77">
        <w:rPr>
          <w:b/>
          <w:bCs/>
          <w:szCs w:val="24"/>
        </w:rPr>
        <w:t>notranjega nadzora</w:t>
      </w:r>
      <w:r w:rsidRPr="000F751B">
        <w:rPr>
          <w:szCs w:val="24"/>
        </w:rPr>
        <w:t xml:space="preserve"> na vseh sistemih javne oskrbe s pitno vodo s katerimi upravlja. Notranji nadzor je vzpostavljen na osnovah HACCP načrta, ki omogoča prepoznavanje mikrobioloških, kemičnih in fizikalnih tveganj, ki lahko predstavljajo potencialno nevarnost za zdravje ljudi in  določa izvajanje potrebnih ukrepov ter vzpostavljanje stalnega nadzora na tistih mestih (Kritičnih Kontrolnih Točkah – KKT in kontrolnih točkah - KT) v oskrbi s pitno vodo, kjer se tveganja lahko pojavijo. Sestavni del HACCP načrta je tudi Program odvzema vzorcev pitne vode.</w:t>
      </w:r>
    </w:p>
    <w:p w14:paraId="40F42F5A" w14:textId="77777777" w:rsidR="003F158E" w:rsidRPr="000F751B" w:rsidRDefault="003F158E" w:rsidP="003F158E">
      <w:pPr>
        <w:pStyle w:val="Brezrazmikov"/>
        <w:jc w:val="both"/>
        <w:rPr>
          <w:szCs w:val="24"/>
        </w:rPr>
      </w:pPr>
    </w:p>
    <w:p w14:paraId="72C95AEC" w14:textId="77777777" w:rsidR="003F158E" w:rsidRDefault="003F158E" w:rsidP="003F158E">
      <w:pPr>
        <w:tabs>
          <w:tab w:val="left" w:pos="1120"/>
        </w:tabs>
        <w:jc w:val="both"/>
        <w:rPr>
          <w:sz w:val="24"/>
          <w:szCs w:val="24"/>
        </w:rPr>
      </w:pPr>
      <w:r w:rsidRPr="000F751B">
        <w:rPr>
          <w:bCs/>
          <w:sz w:val="24"/>
          <w:szCs w:val="24"/>
        </w:rPr>
        <w:t xml:space="preserve">Poleg notranjega nadzora pa Ministrstvo za zdravje zagotavlja spremljanje pitne vode – </w:t>
      </w:r>
      <w:r w:rsidRPr="008D4F77">
        <w:rPr>
          <w:b/>
          <w:sz w:val="24"/>
          <w:szCs w:val="24"/>
        </w:rPr>
        <w:t>monitoring</w:t>
      </w:r>
      <w:r w:rsidRPr="000F751B">
        <w:rPr>
          <w:bCs/>
          <w:sz w:val="24"/>
          <w:szCs w:val="24"/>
        </w:rPr>
        <w:t>, s  katerim se preverja, ali pitna voda izpolnjuje zahteve</w:t>
      </w:r>
      <w:r w:rsidRPr="000F751B">
        <w:rPr>
          <w:b/>
          <w:sz w:val="24"/>
          <w:szCs w:val="24"/>
        </w:rPr>
        <w:t xml:space="preserve"> </w:t>
      </w:r>
      <w:r w:rsidRPr="008D4F77">
        <w:rPr>
          <w:bCs/>
          <w:sz w:val="24"/>
          <w:szCs w:val="24"/>
        </w:rPr>
        <w:t>Pravilnika o pitni vodi (Ur.l. RS, št. 19/04, 35/04, 26704, 92/06 in 25/09) (v nadaljevanju: Pravilnik o pitni vodi),</w:t>
      </w:r>
      <w:r w:rsidRPr="000F751B">
        <w:rPr>
          <w:sz w:val="24"/>
          <w:szCs w:val="24"/>
        </w:rPr>
        <w:t xml:space="preserve">  </w:t>
      </w:r>
      <w:r w:rsidRPr="000F751B">
        <w:rPr>
          <w:bCs/>
          <w:sz w:val="24"/>
          <w:szCs w:val="24"/>
        </w:rPr>
        <w:t xml:space="preserve">zlasti zahteve za mejne vrednosti parametrov, določene v Prilogi I, Pravilnika o pitni vodi. </w:t>
      </w:r>
      <w:r w:rsidRPr="000F751B">
        <w:rPr>
          <w:sz w:val="24"/>
          <w:szCs w:val="24"/>
        </w:rPr>
        <w:t>Nosilec monitoringa v letu 201</w:t>
      </w:r>
      <w:r w:rsidR="009B15BC">
        <w:rPr>
          <w:sz w:val="24"/>
          <w:szCs w:val="24"/>
        </w:rPr>
        <w:t>9</w:t>
      </w:r>
      <w:r w:rsidRPr="000F751B">
        <w:rPr>
          <w:sz w:val="24"/>
          <w:szCs w:val="24"/>
        </w:rPr>
        <w:t xml:space="preserve"> je bil Nacionalni inštitut za javno zdravje (NIJZ),</w:t>
      </w:r>
      <w:r w:rsidRPr="000F751B">
        <w:rPr>
          <w:color w:val="FF0000"/>
          <w:sz w:val="24"/>
          <w:szCs w:val="24"/>
        </w:rPr>
        <w:t xml:space="preserve"> </w:t>
      </w:r>
      <w:r w:rsidRPr="000F751B">
        <w:rPr>
          <w:sz w:val="24"/>
          <w:szCs w:val="24"/>
        </w:rPr>
        <w:t>izvajalec pa Nacionalni laboratorij za zdravje, okolje in hrano (NLZOH).</w:t>
      </w:r>
    </w:p>
    <w:p w14:paraId="31B1F7A9" w14:textId="77777777" w:rsidR="00054C82" w:rsidRDefault="00054C82" w:rsidP="003F158E">
      <w:pPr>
        <w:tabs>
          <w:tab w:val="left" w:pos="1120"/>
        </w:tabs>
        <w:jc w:val="both"/>
        <w:rPr>
          <w:sz w:val="24"/>
          <w:szCs w:val="24"/>
        </w:rPr>
      </w:pPr>
    </w:p>
    <w:p w14:paraId="1376E5D7" w14:textId="77777777" w:rsidR="00054C82" w:rsidRDefault="00054C82" w:rsidP="00054C82">
      <w:pPr>
        <w:pStyle w:val="Brezrazmikov"/>
        <w:jc w:val="both"/>
        <w:rPr>
          <w:szCs w:val="24"/>
        </w:rPr>
      </w:pPr>
      <w:r w:rsidRPr="000F751B">
        <w:rPr>
          <w:szCs w:val="24"/>
        </w:rPr>
        <w:t>Število pregledov in število odvzetih vzorcev pitne vode, v posameznem oskrbovalnem sistemu, je prilagojeno povprečni dnevni porabi pitne vode. Storitev odvzema vzorcev pitne vode in nadaljnje preiskave</w:t>
      </w:r>
      <w:r w:rsidR="008D4F77">
        <w:rPr>
          <w:szCs w:val="24"/>
        </w:rPr>
        <w:t>, v okviru notranjega nadzora</w:t>
      </w:r>
      <w:r w:rsidR="002B02BD">
        <w:rPr>
          <w:szCs w:val="24"/>
        </w:rPr>
        <w:t xml:space="preserve"> </w:t>
      </w:r>
      <w:r w:rsidRPr="000F751B">
        <w:rPr>
          <w:szCs w:val="24"/>
        </w:rPr>
        <w:t>je  v letu 201</w:t>
      </w:r>
      <w:r>
        <w:rPr>
          <w:szCs w:val="24"/>
        </w:rPr>
        <w:t>9</w:t>
      </w:r>
      <w:r w:rsidRPr="000F751B">
        <w:rPr>
          <w:szCs w:val="24"/>
        </w:rPr>
        <w:t xml:space="preserve"> izvajal Nacionalni laboratorij za zdravje, okolje in hrano s katerim ima upravljavec sklenjeno pogodbo.</w:t>
      </w:r>
    </w:p>
    <w:p w14:paraId="535C1B9B" w14:textId="77777777" w:rsidR="00054C82" w:rsidRDefault="00054C82" w:rsidP="00054C82">
      <w:pPr>
        <w:jc w:val="both"/>
        <w:rPr>
          <w:b/>
          <w:bCs/>
        </w:rPr>
      </w:pPr>
    </w:p>
    <w:p w14:paraId="0F9BF37C" w14:textId="77777777" w:rsidR="00054C82" w:rsidRDefault="00054C82" w:rsidP="00054C82">
      <w:pPr>
        <w:pStyle w:val="Telobesedila"/>
        <w:rPr>
          <w:bCs/>
          <w:szCs w:val="24"/>
        </w:rPr>
      </w:pPr>
      <w:r>
        <w:rPr>
          <w:bCs/>
          <w:szCs w:val="24"/>
        </w:rPr>
        <w:t>Zdravstveno ustreznost in skladnost pitne vode s Pravilnikom o pitni vodi,</w:t>
      </w:r>
      <w:r>
        <w:rPr>
          <w:bCs/>
          <w:color w:val="FF0000"/>
          <w:szCs w:val="24"/>
        </w:rPr>
        <w:t xml:space="preserve"> </w:t>
      </w:r>
      <w:r w:rsidRPr="00C26F04">
        <w:rPr>
          <w:bCs/>
          <w:szCs w:val="24"/>
        </w:rPr>
        <w:t>ocenjujemo</w:t>
      </w:r>
      <w:r>
        <w:rPr>
          <w:bCs/>
          <w:color w:val="FF0000"/>
          <w:szCs w:val="24"/>
        </w:rPr>
        <w:t xml:space="preserve"> </w:t>
      </w:r>
      <w:r>
        <w:t xml:space="preserve">na podlagi opravljenih terenskih pregledov in meritev, mikrobioloških preskušanj in fizikalno kemijskih preskušanj odvzetih vzorcev pitne vode v posameznem oskrbovalnem sistemu. </w:t>
      </w:r>
      <w:r w:rsidR="006D07A0">
        <w:t xml:space="preserve">Navadno </w:t>
      </w:r>
      <w:r>
        <w:rPr>
          <w:bCs/>
          <w:szCs w:val="24"/>
        </w:rPr>
        <w:t xml:space="preserve">velja, da je oskrba s pitno vodo v večjih oskrbovalnih sistemih varnejša, kot v manjših oskrbovalnih sistemih. </w:t>
      </w:r>
    </w:p>
    <w:p w14:paraId="6CD89E48" w14:textId="77777777" w:rsidR="006D07A0" w:rsidRDefault="006D07A0" w:rsidP="00054C82">
      <w:pPr>
        <w:pStyle w:val="Telobesedila"/>
        <w:rPr>
          <w:bCs/>
          <w:szCs w:val="24"/>
        </w:rPr>
      </w:pPr>
    </w:p>
    <w:p w14:paraId="4D3D1FE0" w14:textId="77777777" w:rsidR="00054C82" w:rsidRDefault="009A7740" w:rsidP="00054C82">
      <w:pPr>
        <w:pStyle w:val="Telobesedila"/>
        <w:rPr>
          <w:bCs/>
          <w:szCs w:val="24"/>
        </w:rPr>
      </w:pPr>
      <w:r>
        <w:rPr>
          <w:bCs/>
          <w:szCs w:val="24"/>
        </w:rPr>
        <w:t>V splošnem ocenjujemo, da je bila oskrba s pitno vodo v letu 2019 na vseh sistemih javne oskrbe s pitno vodo v upravljanju javnega podjetja varna. Notranji nadzor je zagotavljal pravočasno odkrivanje pomanjkljivosti in uspešno odpravo vzrokov za neskladja.</w:t>
      </w:r>
      <w:r w:rsidR="00AC6996" w:rsidRPr="00AC6996">
        <w:rPr>
          <w:bCs/>
          <w:szCs w:val="24"/>
        </w:rPr>
        <w:t xml:space="preserve"> </w:t>
      </w:r>
      <w:r w:rsidR="00AC6996">
        <w:rPr>
          <w:bCs/>
          <w:szCs w:val="24"/>
        </w:rPr>
        <w:t xml:space="preserve">Osnovni pogoj za varno oskrbo s pitno vodo so objekti, ki so sanitarno tehnično ustrezni. Priprava vode pred distribucijo se lahko uvede, ko se izčrpa vse ostale možnosti  in v kolikor ne razpolagamo z zajetjem, ki omogoča zajem pitne vode, ki je skladna z določili Pravilnika o pitni vodi.  </w:t>
      </w:r>
      <w:r>
        <w:rPr>
          <w:bCs/>
          <w:szCs w:val="24"/>
        </w:rPr>
        <w:t xml:space="preserve"> Odprava tehničnih pomanjkljivosti, ki bi zagotavljale še večjo varnost oskrbe s pitno vodo  se izvaja postopno v soglasju z lastnikom</w:t>
      </w:r>
      <w:r w:rsidR="009127BB">
        <w:rPr>
          <w:bCs/>
          <w:szCs w:val="24"/>
        </w:rPr>
        <w:t xml:space="preserve"> v</w:t>
      </w:r>
      <w:r>
        <w:rPr>
          <w:bCs/>
          <w:szCs w:val="24"/>
        </w:rPr>
        <w:t>odovodnih sistemov torej Občino Litija</w:t>
      </w:r>
      <w:r w:rsidR="009127BB">
        <w:rPr>
          <w:bCs/>
          <w:szCs w:val="24"/>
        </w:rPr>
        <w:t>.</w:t>
      </w:r>
    </w:p>
    <w:p w14:paraId="3CFCA79F" w14:textId="77777777" w:rsidR="00F45273" w:rsidRDefault="00F45273" w:rsidP="003452CC">
      <w:pPr>
        <w:jc w:val="both"/>
        <w:rPr>
          <w:sz w:val="24"/>
          <w:szCs w:val="24"/>
        </w:rPr>
      </w:pPr>
    </w:p>
    <w:p w14:paraId="43B75108" w14:textId="77777777" w:rsidR="00431AB5" w:rsidRPr="00054C82" w:rsidRDefault="00431AB5" w:rsidP="00431AB5">
      <w:pPr>
        <w:pStyle w:val="Naslov1"/>
        <w:jc w:val="both"/>
        <w:rPr>
          <w:sz w:val="24"/>
          <w:szCs w:val="24"/>
        </w:rPr>
      </w:pPr>
      <w:r w:rsidRPr="00597F0A">
        <w:rPr>
          <w:b w:val="0"/>
          <w:iCs/>
          <w:sz w:val="24"/>
          <w:szCs w:val="24"/>
        </w:rPr>
        <w:t>Poročilo o številu odvzetih vzorcev pitne vode</w:t>
      </w:r>
      <w:r w:rsidR="007C6385">
        <w:rPr>
          <w:b w:val="0"/>
          <w:iCs/>
          <w:sz w:val="24"/>
          <w:szCs w:val="24"/>
        </w:rPr>
        <w:t xml:space="preserve"> v okviru notranjega nadzora in v okviru monitoringa</w:t>
      </w:r>
      <w:r w:rsidRPr="00597F0A">
        <w:rPr>
          <w:b w:val="0"/>
          <w:iCs/>
          <w:sz w:val="24"/>
          <w:szCs w:val="24"/>
        </w:rPr>
        <w:t xml:space="preserve"> </w:t>
      </w:r>
      <w:r w:rsidR="007C6385">
        <w:rPr>
          <w:b w:val="0"/>
          <w:iCs/>
          <w:sz w:val="24"/>
          <w:szCs w:val="24"/>
        </w:rPr>
        <w:t>ter</w:t>
      </w:r>
      <w:r w:rsidRPr="00597F0A">
        <w:rPr>
          <w:b w:val="0"/>
          <w:iCs/>
          <w:sz w:val="24"/>
          <w:szCs w:val="24"/>
        </w:rPr>
        <w:t xml:space="preserve"> rezultate o skladnosti in neskladnosti s Pravilnikom o pitni vodi na preiskane parametre za posamezne sisteme za oskrbo s pitno vodo </w:t>
      </w:r>
      <w:r>
        <w:rPr>
          <w:b w:val="0"/>
          <w:iCs/>
          <w:sz w:val="24"/>
          <w:szCs w:val="24"/>
        </w:rPr>
        <w:t>je podano</w:t>
      </w:r>
      <w:r w:rsidRPr="00597F0A">
        <w:rPr>
          <w:b w:val="0"/>
          <w:iCs/>
          <w:sz w:val="24"/>
          <w:szCs w:val="24"/>
        </w:rPr>
        <w:t xml:space="preserve"> </w:t>
      </w:r>
      <w:r>
        <w:rPr>
          <w:b w:val="0"/>
          <w:iCs/>
          <w:sz w:val="24"/>
          <w:szCs w:val="24"/>
        </w:rPr>
        <w:t xml:space="preserve">v </w:t>
      </w:r>
      <w:r w:rsidR="007C6385">
        <w:rPr>
          <w:b w:val="0"/>
          <w:iCs/>
          <w:sz w:val="24"/>
          <w:szCs w:val="24"/>
        </w:rPr>
        <w:t>tab</w:t>
      </w:r>
      <w:r w:rsidRPr="00597F0A">
        <w:rPr>
          <w:b w:val="0"/>
          <w:iCs/>
          <w:sz w:val="24"/>
          <w:szCs w:val="24"/>
        </w:rPr>
        <w:t>eli</w:t>
      </w:r>
      <w:r w:rsidR="007C6385">
        <w:rPr>
          <w:b w:val="0"/>
          <w:iCs/>
          <w:sz w:val="24"/>
          <w:szCs w:val="24"/>
        </w:rPr>
        <w:t xml:space="preserve">. </w:t>
      </w:r>
      <w:r w:rsidR="00804DEC">
        <w:rPr>
          <w:b w:val="0"/>
          <w:iCs/>
          <w:sz w:val="24"/>
          <w:szCs w:val="24"/>
        </w:rPr>
        <w:t>Tabela prikazuje tudi ukrepe za odpravo vzrokov neskladja</w:t>
      </w:r>
      <w:r w:rsidR="00FD1296">
        <w:rPr>
          <w:b w:val="0"/>
          <w:iCs/>
          <w:sz w:val="24"/>
          <w:szCs w:val="24"/>
        </w:rPr>
        <w:t>.</w:t>
      </w:r>
    </w:p>
    <w:p w14:paraId="6AAC8AAD" w14:textId="77777777" w:rsidR="00431AB5" w:rsidRPr="00F45273" w:rsidRDefault="00431AB5" w:rsidP="003452CC">
      <w:pPr>
        <w:jc w:val="both"/>
        <w:rPr>
          <w:sz w:val="24"/>
          <w:szCs w:val="24"/>
        </w:rPr>
      </w:pPr>
    </w:p>
    <w:tbl>
      <w:tblPr>
        <w:tblpPr w:leftFromText="141" w:rightFromText="141" w:vertAnchor="page" w:tblpY="1051"/>
        <w:tblW w:w="10771" w:type="dxa"/>
        <w:tblCellMar>
          <w:left w:w="70" w:type="dxa"/>
          <w:right w:w="70" w:type="dxa"/>
        </w:tblCellMar>
        <w:tblLook w:val="04A0" w:firstRow="1" w:lastRow="0" w:firstColumn="1" w:lastColumn="0" w:noHBand="0" w:noVBand="1"/>
      </w:tblPr>
      <w:tblGrid>
        <w:gridCol w:w="327"/>
        <w:gridCol w:w="1634"/>
        <w:gridCol w:w="990"/>
        <w:gridCol w:w="1050"/>
        <w:gridCol w:w="1060"/>
        <w:gridCol w:w="1080"/>
        <w:gridCol w:w="391"/>
        <w:gridCol w:w="911"/>
        <w:gridCol w:w="980"/>
        <w:gridCol w:w="1120"/>
        <w:gridCol w:w="391"/>
        <w:gridCol w:w="911"/>
      </w:tblGrid>
      <w:tr w:rsidR="00547393" w:rsidRPr="00825E46" w14:paraId="75808DE4" w14:textId="77777777" w:rsidTr="00597F0A">
        <w:trPr>
          <w:trHeight w:val="199"/>
        </w:trPr>
        <w:tc>
          <w:tcPr>
            <w:tcW w:w="10771" w:type="dxa"/>
            <w:gridSpan w:val="12"/>
            <w:tcBorders>
              <w:top w:val="single" w:sz="4" w:space="0" w:color="auto"/>
              <w:left w:val="single" w:sz="4" w:space="0" w:color="auto"/>
              <w:bottom w:val="single" w:sz="4" w:space="0" w:color="auto"/>
              <w:right w:val="single" w:sz="4" w:space="0" w:color="auto"/>
            </w:tcBorders>
            <w:vAlign w:val="center"/>
          </w:tcPr>
          <w:p w14:paraId="785108D4" w14:textId="77777777" w:rsidR="00547393" w:rsidRPr="00485CC5" w:rsidRDefault="00547393" w:rsidP="00597F0A">
            <w:pPr>
              <w:jc w:val="center"/>
              <w:rPr>
                <w:b/>
                <w:bCs/>
                <w:color w:val="000000"/>
                <w:lang w:eastAsia="sl-SI"/>
              </w:rPr>
            </w:pPr>
          </w:p>
          <w:p w14:paraId="57CCA221" w14:textId="77777777" w:rsidR="0044411E" w:rsidRDefault="00547393" w:rsidP="00597F0A">
            <w:pPr>
              <w:jc w:val="center"/>
              <w:rPr>
                <w:b/>
                <w:bCs/>
                <w:color w:val="000000"/>
                <w:lang w:eastAsia="sl-SI"/>
              </w:rPr>
            </w:pPr>
            <w:r w:rsidRPr="00485CC5">
              <w:rPr>
                <w:b/>
                <w:bCs/>
                <w:color w:val="000000"/>
                <w:lang w:eastAsia="sl-SI"/>
              </w:rPr>
              <w:t>SPREMLJANJE ZDRAVSTVENE USTREZNOSTI PITNE VODE v letu 2019</w:t>
            </w:r>
            <w:r w:rsidR="00B91C7F">
              <w:rPr>
                <w:b/>
                <w:bCs/>
                <w:color w:val="000000"/>
                <w:lang w:eastAsia="sl-SI"/>
              </w:rPr>
              <w:t>; Notranji nadzor in Monitoring</w:t>
            </w:r>
            <w:r w:rsidRPr="00485CC5">
              <w:rPr>
                <w:b/>
                <w:bCs/>
                <w:color w:val="000000"/>
                <w:lang w:eastAsia="sl-SI"/>
              </w:rPr>
              <w:t xml:space="preserve"> </w:t>
            </w:r>
          </w:p>
          <w:p w14:paraId="6074A23B" w14:textId="77777777" w:rsidR="00547393" w:rsidRPr="00485CC5" w:rsidRDefault="00547393" w:rsidP="00597F0A">
            <w:pPr>
              <w:jc w:val="center"/>
              <w:rPr>
                <w:b/>
                <w:bCs/>
                <w:color w:val="000000"/>
                <w:lang w:eastAsia="sl-SI"/>
              </w:rPr>
            </w:pPr>
            <w:r w:rsidRPr="00485CC5">
              <w:rPr>
                <w:b/>
                <w:bCs/>
                <w:color w:val="000000"/>
                <w:lang w:eastAsia="sl-SI"/>
              </w:rPr>
              <w:t xml:space="preserve">Upravljavec: KSP Litija d.o.o., </w:t>
            </w:r>
          </w:p>
        </w:tc>
      </w:tr>
      <w:tr w:rsidR="00547393" w:rsidRPr="00825E46" w14:paraId="196F1028" w14:textId="77777777" w:rsidTr="005752BD">
        <w:trPr>
          <w:trHeight w:val="573"/>
        </w:trPr>
        <w:tc>
          <w:tcPr>
            <w:tcW w:w="327" w:type="dxa"/>
            <w:vMerge w:val="restart"/>
            <w:tcBorders>
              <w:top w:val="nil"/>
              <w:left w:val="single" w:sz="4" w:space="0" w:color="auto"/>
              <w:right w:val="single" w:sz="4" w:space="0" w:color="auto"/>
            </w:tcBorders>
            <w:shd w:val="clear" w:color="auto" w:fill="auto"/>
            <w:noWrap/>
            <w:vAlign w:val="bottom"/>
            <w:hideMark/>
          </w:tcPr>
          <w:p w14:paraId="5FD06993" w14:textId="77777777" w:rsidR="00547393" w:rsidRPr="00485CC5" w:rsidRDefault="00547393" w:rsidP="00597F0A">
            <w:pPr>
              <w:rPr>
                <w:color w:val="000000"/>
                <w:sz w:val="18"/>
                <w:szCs w:val="18"/>
                <w:lang w:eastAsia="sl-SI"/>
              </w:rPr>
            </w:pPr>
            <w:r w:rsidRPr="00485CC5">
              <w:rPr>
                <w:color w:val="000000"/>
                <w:sz w:val="18"/>
                <w:szCs w:val="18"/>
                <w:lang w:eastAsia="sl-SI"/>
              </w:rPr>
              <w:t> </w:t>
            </w:r>
          </w:p>
          <w:p w14:paraId="596F0F15" w14:textId="77777777" w:rsidR="00547393" w:rsidRPr="00485CC5" w:rsidRDefault="00547393" w:rsidP="00597F0A">
            <w:pPr>
              <w:rPr>
                <w:color w:val="000000"/>
                <w:sz w:val="18"/>
                <w:szCs w:val="18"/>
                <w:lang w:eastAsia="sl-SI"/>
              </w:rPr>
            </w:pPr>
            <w:r w:rsidRPr="00485CC5">
              <w:rPr>
                <w:color w:val="000000"/>
                <w:sz w:val="18"/>
                <w:szCs w:val="18"/>
                <w:lang w:eastAsia="sl-SI"/>
              </w:rPr>
              <w:t> </w:t>
            </w:r>
          </w:p>
        </w:tc>
        <w:tc>
          <w:tcPr>
            <w:tcW w:w="1634" w:type="dxa"/>
            <w:vMerge w:val="restart"/>
            <w:tcBorders>
              <w:top w:val="nil"/>
              <w:left w:val="nil"/>
              <w:right w:val="single" w:sz="4" w:space="0" w:color="auto"/>
            </w:tcBorders>
            <w:shd w:val="clear" w:color="auto" w:fill="auto"/>
            <w:noWrap/>
            <w:vAlign w:val="center"/>
            <w:hideMark/>
          </w:tcPr>
          <w:p w14:paraId="14A27AF0" w14:textId="77777777" w:rsidR="00547393" w:rsidRPr="00485CC5" w:rsidRDefault="00547393" w:rsidP="00597F0A">
            <w:pPr>
              <w:rPr>
                <w:color w:val="000000"/>
                <w:sz w:val="18"/>
                <w:szCs w:val="18"/>
                <w:lang w:eastAsia="sl-SI"/>
              </w:rPr>
            </w:pPr>
            <w:r w:rsidRPr="00485CC5">
              <w:rPr>
                <w:color w:val="000000"/>
                <w:sz w:val="18"/>
                <w:szCs w:val="18"/>
                <w:lang w:eastAsia="sl-SI"/>
              </w:rPr>
              <w:t>Vodovodni sistem - Oskrbovalno območje</w:t>
            </w:r>
          </w:p>
        </w:tc>
        <w:tc>
          <w:tcPr>
            <w:tcW w:w="990" w:type="dxa"/>
            <w:vMerge w:val="restart"/>
            <w:tcBorders>
              <w:top w:val="nil"/>
              <w:left w:val="nil"/>
              <w:right w:val="single" w:sz="4" w:space="0" w:color="auto"/>
            </w:tcBorders>
            <w:shd w:val="clear" w:color="auto" w:fill="auto"/>
            <w:noWrap/>
            <w:vAlign w:val="bottom"/>
            <w:hideMark/>
          </w:tcPr>
          <w:p w14:paraId="385308A7" w14:textId="77777777" w:rsidR="00547393" w:rsidRPr="00485CC5" w:rsidRDefault="00547393" w:rsidP="00597F0A">
            <w:pPr>
              <w:jc w:val="center"/>
              <w:rPr>
                <w:color w:val="000000"/>
                <w:sz w:val="18"/>
                <w:szCs w:val="18"/>
                <w:lang w:eastAsia="sl-SI"/>
              </w:rPr>
            </w:pPr>
            <w:r w:rsidRPr="00485CC5">
              <w:rPr>
                <w:color w:val="000000"/>
                <w:sz w:val="18"/>
                <w:szCs w:val="18"/>
                <w:lang w:eastAsia="sl-SI"/>
              </w:rPr>
              <w:t xml:space="preserve"> Distribucija vode: m</w:t>
            </w:r>
            <w:r w:rsidRPr="00485CC5">
              <w:rPr>
                <w:color w:val="000000"/>
                <w:sz w:val="18"/>
                <w:szCs w:val="18"/>
                <w:vertAlign w:val="superscript"/>
                <w:lang w:eastAsia="sl-SI"/>
              </w:rPr>
              <w:t>3</w:t>
            </w:r>
            <w:r w:rsidRPr="00485CC5">
              <w:rPr>
                <w:color w:val="000000"/>
                <w:sz w:val="18"/>
                <w:szCs w:val="18"/>
                <w:lang w:eastAsia="sl-SI"/>
              </w:rPr>
              <w:t>/dan</w:t>
            </w:r>
          </w:p>
          <w:p w14:paraId="647FC2BC" w14:textId="77777777" w:rsidR="00547393" w:rsidRPr="00485CC5" w:rsidRDefault="00547393" w:rsidP="00597F0A">
            <w:pPr>
              <w:rPr>
                <w:color w:val="000000"/>
                <w:sz w:val="18"/>
                <w:szCs w:val="18"/>
                <w:lang w:eastAsia="sl-SI"/>
              </w:rPr>
            </w:pPr>
            <w:r w:rsidRPr="00485CC5">
              <w:rPr>
                <w:color w:val="000000"/>
                <w:sz w:val="18"/>
                <w:szCs w:val="18"/>
                <w:lang w:eastAsia="sl-SI"/>
              </w:rPr>
              <w:t> </w:t>
            </w:r>
          </w:p>
        </w:tc>
        <w:tc>
          <w:tcPr>
            <w:tcW w:w="1050" w:type="dxa"/>
            <w:vMerge w:val="restart"/>
            <w:tcBorders>
              <w:top w:val="nil"/>
              <w:left w:val="nil"/>
              <w:right w:val="single" w:sz="4" w:space="0" w:color="auto"/>
            </w:tcBorders>
            <w:shd w:val="clear" w:color="auto" w:fill="auto"/>
            <w:noWrap/>
            <w:vAlign w:val="bottom"/>
            <w:hideMark/>
          </w:tcPr>
          <w:p w14:paraId="145E9EDC" w14:textId="77777777" w:rsidR="00547393" w:rsidRPr="00485CC5" w:rsidRDefault="00547393" w:rsidP="00597F0A">
            <w:pPr>
              <w:jc w:val="center"/>
              <w:rPr>
                <w:color w:val="000000"/>
                <w:sz w:val="18"/>
                <w:szCs w:val="18"/>
                <w:lang w:eastAsia="sl-SI"/>
              </w:rPr>
            </w:pPr>
            <w:r w:rsidRPr="00485CC5">
              <w:rPr>
                <w:color w:val="000000"/>
                <w:sz w:val="18"/>
                <w:szCs w:val="18"/>
                <w:lang w:eastAsia="sl-SI"/>
              </w:rPr>
              <w:t>Število uporabnikov</w:t>
            </w:r>
          </w:p>
          <w:p w14:paraId="0D011B5E" w14:textId="77777777" w:rsidR="00547393" w:rsidRPr="00485CC5" w:rsidRDefault="00547393" w:rsidP="00597F0A">
            <w:pPr>
              <w:rPr>
                <w:color w:val="000000"/>
                <w:sz w:val="18"/>
                <w:szCs w:val="18"/>
                <w:lang w:eastAsia="sl-SI"/>
              </w:rPr>
            </w:pPr>
            <w:r w:rsidRPr="00485CC5">
              <w:rPr>
                <w:color w:val="000000"/>
                <w:sz w:val="18"/>
                <w:szCs w:val="18"/>
                <w:lang w:eastAsia="sl-SI"/>
              </w:rPr>
              <w:t> </w:t>
            </w:r>
          </w:p>
        </w:tc>
        <w:tc>
          <w:tcPr>
            <w:tcW w:w="1060" w:type="dxa"/>
            <w:vMerge w:val="restart"/>
            <w:tcBorders>
              <w:top w:val="nil"/>
              <w:left w:val="nil"/>
              <w:right w:val="single" w:sz="4" w:space="0" w:color="auto"/>
            </w:tcBorders>
            <w:shd w:val="clear" w:color="auto" w:fill="auto"/>
            <w:noWrap/>
            <w:vAlign w:val="center"/>
            <w:hideMark/>
          </w:tcPr>
          <w:p w14:paraId="7E839686" w14:textId="77777777" w:rsidR="00547393" w:rsidRPr="00485CC5" w:rsidRDefault="00547393" w:rsidP="00597F0A">
            <w:pPr>
              <w:rPr>
                <w:color w:val="000000"/>
                <w:sz w:val="18"/>
                <w:szCs w:val="18"/>
                <w:lang w:eastAsia="sl-SI"/>
              </w:rPr>
            </w:pPr>
            <w:r w:rsidRPr="00485CC5">
              <w:rPr>
                <w:color w:val="000000"/>
                <w:sz w:val="18"/>
                <w:szCs w:val="18"/>
                <w:lang w:eastAsia="sl-SI"/>
              </w:rPr>
              <w:t>Dezinfekcija</w:t>
            </w:r>
          </w:p>
          <w:p w14:paraId="1932876C" w14:textId="77777777" w:rsidR="00547393" w:rsidRPr="00485CC5" w:rsidRDefault="00547393" w:rsidP="00597F0A">
            <w:pPr>
              <w:rPr>
                <w:color w:val="000000"/>
                <w:sz w:val="18"/>
                <w:szCs w:val="18"/>
                <w:lang w:eastAsia="sl-SI"/>
              </w:rPr>
            </w:pPr>
          </w:p>
        </w:tc>
        <w:tc>
          <w:tcPr>
            <w:tcW w:w="1080" w:type="dxa"/>
            <w:vMerge w:val="restart"/>
            <w:tcBorders>
              <w:top w:val="nil"/>
              <w:left w:val="nil"/>
              <w:right w:val="single" w:sz="4" w:space="0" w:color="auto"/>
            </w:tcBorders>
            <w:vAlign w:val="center"/>
          </w:tcPr>
          <w:p w14:paraId="4281EDB6" w14:textId="77777777" w:rsidR="00547393" w:rsidRPr="00485CC5" w:rsidRDefault="00547393" w:rsidP="00597F0A">
            <w:pPr>
              <w:jc w:val="center"/>
              <w:rPr>
                <w:color w:val="000000"/>
                <w:sz w:val="18"/>
                <w:szCs w:val="18"/>
                <w:lang w:eastAsia="sl-SI"/>
              </w:rPr>
            </w:pPr>
            <w:r w:rsidRPr="00485CC5">
              <w:rPr>
                <w:color w:val="000000"/>
                <w:sz w:val="18"/>
                <w:szCs w:val="18"/>
                <w:lang w:eastAsia="sl-SI"/>
              </w:rPr>
              <w:t>Vrsta nadzora</w:t>
            </w:r>
          </w:p>
        </w:tc>
        <w:tc>
          <w:tcPr>
            <w:tcW w:w="3364" w:type="dxa"/>
            <w:gridSpan w:val="4"/>
            <w:tcBorders>
              <w:top w:val="nil"/>
              <w:left w:val="nil"/>
              <w:bottom w:val="single" w:sz="4" w:space="0" w:color="auto"/>
              <w:right w:val="single" w:sz="4" w:space="0" w:color="auto"/>
            </w:tcBorders>
            <w:vAlign w:val="center"/>
          </w:tcPr>
          <w:p w14:paraId="0D8930CB" w14:textId="77777777" w:rsidR="00547393" w:rsidRPr="00485CC5" w:rsidRDefault="00547393" w:rsidP="00597F0A">
            <w:pPr>
              <w:jc w:val="center"/>
              <w:rPr>
                <w:color w:val="000000"/>
                <w:sz w:val="18"/>
                <w:szCs w:val="18"/>
                <w:lang w:eastAsia="sl-SI"/>
              </w:rPr>
            </w:pPr>
            <w:r w:rsidRPr="00485CC5">
              <w:rPr>
                <w:color w:val="000000"/>
                <w:sz w:val="18"/>
                <w:szCs w:val="18"/>
                <w:lang w:eastAsia="sl-SI"/>
              </w:rPr>
              <w:t>Mikrobiološka preskušanja: število vzorcev</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63218EC5" w14:textId="77777777" w:rsidR="00547393" w:rsidRPr="00485CC5" w:rsidRDefault="00547393" w:rsidP="00597F0A">
            <w:pPr>
              <w:jc w:val="center"/>
              <w:rPr>
                <w:color w:val="000000"/>
                <w:sz w:val="18"/>
                <w:szCs w:val="18"/>
                <w:lang w:eastAsia="sl-SI"/>
              </w:rPr>
            </w:pPr>
            <w:r w:rsidRPr="00485CC5">
              <w:rPr>
                <w:color w:val="000000"/>
                <w:sz w:val="18"/>
                <w:szCs w:val="18"/>
                <w:lang w:eastAsia="sl-SI"/>
              </w:rPr>
              <w:t>Kemijska preskušanja: število vzorcev</w:t>
            </w:r>
          </w:p>
        </w:tc>
      </w:tr>
      <w:tr w:rsidR="00547393" w:rsidRPr="00825E46" w14:paraId="2DC36D28" w14:textId="77777777" w:rsidTr="005752BD">
        <w:trPr>
          <w:trHeight w:val="573"/>
        </w:trPr>
        <w:tc>
          <w:tcPr>
            <w:tcW w:w="327" w:type="dxa"/>
            <w:vMerge/>
            <w:tcBorders>
              <w:left w:val="single" w:sz="4" w:space="0" w:color="auto"/>
              <w:bottom w:val="single" w:sz="4" w:space="0" w:color="auto"/>
              <w:right w:val="single" w:sz="4" w:space="0" w:color="auto"/>
            </w:tcBorders>
            <w:shd w:val="clear" w:color="auto" w:fill="auto"/>
            <w:noWrap/>
            <w:vAlign w:val="bottom"/>
            <w:hideMark/>
          </w:tcPr>
          <w:p w14:paraId="54CB9A48" w14:textId="77777777" w:rsidR="00547393" w:rsidRPr="00485CC5" w:rsidRDefault="00547393" w:rsidP="00597F0A">
            <w:pPr>
              <w:rPr>
                <w:color w:val="000000"/>
                <w:sz w:val="18"/>
                <w:szCs w:val="18"/>
                <w:lang w:eastAsia="sl-SI"/>
              </w:rPr>
            </w:pPr>
          </w:p>
        </w:tc>
        <w:tc>
          <w:tcPr>
            <w:tcW w:w="1634" w:type="dxa"/>
            <w:vMerge/>
            <w:tcBorders>
              <w:left w:val="nil"/>
              <w:bottom w:val="single" w:sz="4" w:space="0" w:color="auto"/>
              <w:right w:val="single" w:sz="4" w:space="0" w:color="auto"/>
            </w:tcBorders>
            <w:shd w:val="clear" w:color="auto" w:fill="auto"/>
            <w:noWrap/>
            <w:vAlign w:val="bottom"/>
            <w:hideMark/>
          </w:tcPr>
          <w:p w14:paraId="21EAAE80" w14:textId="77777777" w:rsidR="00547393" w:rsidRPr="00485CC5" w:rsidRDefault="00547393" w:rsidP="00597F0A">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hideMark/>
          </w:tcPr>
          <w:p w14:paraId="43351F05" w14:textId="77777777" w:rsidR="00547393" w:rsidRPr="00485CC5" w:rsidRDefault="00547393" w:rsidP="00597F0A">
            <w:pPr>
              <w:rPr>
                <w:color w:val="00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hideMark/>
          </w:tcPr>
          <w:p w14:paraId="67F3D755" w14:textId="77777777" w:rsidR="00547393" w:rsidRPr="00485CC5" w:rsidRDefault="00547393" w:rsidP="00597F0A">
            <w:pPr>
              <w:rPr>
                <w:color w:val="000000"/>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hideMark/>
          </w:tcPr>
          <w:p w14:paraId="1098D3E3" w14:textId="77777777" w:rsidR="00547393" w:rsidRPr="00485CC5" w:rsidRDefault="00547393" w:rsidP="00597F0A">
            <w:pPr>
              <w:rPr>
                <w:color w:val="000000"/>
                <w:sz w:val="18"/>
                <w:szCs w:val="18"/>
                <w:lang w:eastAsia="sl-SI"/>
              </w:rPr>
            </w:pPr>
          </w:p>
        </w:tc>
        <w:tc>
          <w:tcPr>
            <w:tcW w:w="1080" w:type="dxa"/>
            <w:vMerge/>
            <w:tcBorders>
              <w:left w:val="nil"/>
              <w:bottom w:val="single" w:sz="4" w:space="0" w:color="auto"/>
              <w:right w:val="single" w:sz="4" w:space="0" w:color="auto"/>
            </w:tcBorders>
            <w:shd w:val="clear" w:color="auto" w:fill="auto"/>
            <w:noWrap/>
            <w:vAlign w:val="bottom"/>
            <w:hideMark/>
          </w:tcPr>
          <w:p w14:paraId="5205768B" w14:textId="77777777" w:rsidR="00547393" w:rsidRPr="00485CC5" w:rsidRDefault="00547393" w:rsidP="00597F0A">
            <w:pPr>
              <w:jc w:val="center"/>
              <w:rPr>
                <w:color w:val="000000"/>
                <w:sz w:val="18"/>
                <w:szCs w:val="18"/>
                <w:lang w:eastAsia="sl-SI"/>
              </w:rPr>
            </w:pPr>
          </w:p>
        </w:tc>
        <w:tc>
          <w:tcPr>
            <w:tcW w:w="391" w:type="dxa"/>
            <w:tcBorders>
              <w:top w:val="single" w:sz="4" w:space="0" w:color="auto"/>
              <w:left w:val="nil"/>
              <w:bottom w:val="single" w:sz="4" w:space="0" w:color="auto"/>
              <w:right w:val="single" w:sz="4" w:space="0" w:color="auto"/>
            </w:tcBorders>
            <w:shd w:val="clear" w:color="auto" w:fill="auto"/>
            <w:vAlign w:val="bottom"/>
          </w:tcPr>
          <w:p w14:paraId="36A18C7C" w14:textId="77777777" w:rsidR="00547393" w:rsidRPr="0070014D" w:rsidRDefault="00547393" w:rsidP="00597F0A">
            <w:pPr>
              <w:jc w:val="center"/>
              <w:rPr>
                <w:b/>
                <w:bCs/>
                <w:color w:val="000000"/>
                <w:sz w:val="18"/>
                <w:szCs w:val="18"/>
                <w:lang w:eastAsia="sl-SI"/>
              </w:rPr>
            </w:pPr>
            <w:r w:rsidRPr="0070014D">
              <w:rPr>
                <w:b/>
                <w:bCs/>
                <w:color w:val="000000"/>
                <w:sz w:val="18"/>
                <w:szCs w:val="18"/>
                <w:lang w:eastAsia="sl-SI"/>
              </w:rPr>
              <w:t>Vsi</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750A7" w14:textId="77777777" w:rsidR="00547393" w:rsidRPr="0070014D" w:rsidRDefault="00547393" w:rsidP="00597F0A">
            <w:pPr>
              <w:jc w:val="center"/>
              <w:rPr>
                <w:b/>
                <w:bCs/>
                <w:color w:val="000000"/>
                <w:sz w:val="18"/>
                <w:szCs w:val="18"/>
                <w:lang w:eastAsia="sl-SI"/>
              </w:rPr>
            </w:pPr>
            <w:r w:rsidRPr="0070014D">
              <w:rPr>
                <w:b/>
                <w:bCs/>
                <w:color w:val="000000"/>
                <w:sz w:val="18"/>
                <w:szCs w:val="18"/>
                <w:lang w:eastAsia="sl-SI"/>
              </w:rPr>
              <w:t>Neskladni</w:t>
            </w:r>
          </w:p>
        </w:tc>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14:paraId="3DFE0E2E" w14:textId="77777777" w:rsidR="00547393" w:rsidRPr="0070014D" w:rsidRDefault="00547393" w:rsidP="00597F0A">
            <w:pPr>
              <w:jc w:val="center"/>
              <w:rPr>
                <w:b/>
                <w:bCs/>
                <w:color w:val="000000"/>
                <w:sz w:val="18"/>
                <w:szCs w:val="18"/>
                <w:lang w:eastAsia="sl-SI"/>
              </w:rPr>
            </w:pPr>
            <w:r w:rsidRPr="0070014D">
              <w:rPr>
                <w:b/>
                <w:bCs/>
                <w:color w:val="000000"/>
                <w:sz w:val="18"/>
                <w:szCs w:val="18"/>
                <w:lang w:eastAsia="sl-SI"/>
              </w:rPr>
              <w:t xml:space="preserve"> Neskladni parameter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14:paraId="5672C9C2" w14:textId="77777777" w:rsidR="00547393" w:rsidRPr="0070014D" w:rsidRDefault="00547393" w:rsidP="00597F0A">
            <w:pPr>
              <w:jc w:val="center"/>
              <w:rPr>
                <w:b/>
                <w:bCs/>
                <w:color w:val="000000"/>
                <w:sz w:val="18"/>
                <w:szCs w:val="18"/>
                <w:lang w:eastAsia="sl-SI"/>
              </w:rPr>
            </w:pPr>
            <w:r w:rsidRPr="0070014D">
              <w:rPr>
                <w:b/>
                <w:bCs/>
                <w:color w:val="000000"/>
                <w:sz w:val="18"/>
                <w:szCs w:val="18"/>
                <w:lang w:eastAsia="sl-SI"/>
              </w:rPr>
              <w:t>Ukrep za odpravo neskladja</w:t>
            </w:r>
          </w:p>
        </w:tc>
        <w:tc>
          <w:tcPr>
            <w:tcW w:w="391" w:type="dxa"/>
            <w:tcBorders>
              <w:top w:val="nil"/>
              <w:left w:val="nil"/>
              <w:bottom w:val="single" w:sz="4" w:space="0" w:color="auto"/>
              <w:right w:val="single" w:sz="4" w:space="0" w:color="auto"/>
            </w:tcBorders>
            <w:shd w:val="clear" w:color="auto" w:fill="auto"/>
            <w:noWrap/>
            <w:vAlign w:val="bottom"/>
          </w:tcPr>
          <w:p w14:paraId="0CB30985" w14:textId="77777777" w:rsidR="00547393" w:rsidRPr="0070014D" w:rsidRDefault="00547393" w:rsidP="00597F0A">
            <w:pPr>
              <w:jc w:val="center"/>
              <w:rPr>
                <w:b/>
                <w:bCs/>
                <w:color w:val="000000"/>
                <w:sz w:val="18"/>
                <w:szCs w:val="18"/>
                <w:lang w:eastAsia="sl-SI"/>
              </w:rPr>
            </w:pPr>
            <w:r w:rsidRPr="0070014D">
              <w:rPr>
                <w:b/>
                <w:bCs/>
                <w:color w:val="000000"/>
                <w:sz w:val="18"/>
                <w:szCs w:val="18"/>
                <w:lang w:eastAsia="sl-SI"/>
              </w:rPr>
              <w:t>Vsi</w:t>
            </w:r>
          </w:p>
        </w:tc>
        <w:tc>
          <w:tcPr>
            <w:tcW w:w="875" w:type="dxa"/>
            <w:tcBorders>
              <w:top w:val="nil"/>
              <w:left w:val="nil"/>
              <w:bottom w:val="single" w:sz="4" w:space="0" w:color="auto"/>
              <w:right w:val="single" w:sz="4" w:space="0" w:color="auto"/>
            </w:tcBorders>
            <w:shd w:val="clear" w:color="auto" w:fill="auto"/>
            <w:noWrap/>
            <w:vAlign w:val="bottom"/>
          </w:tcPr>
          <w:p w14:paraId="4B80F853" w14:textId="77777777" w:rsidR="00547393" w:rsidRPr="0070014D" w:rsidRDefault="00547393" w:rsidP="00597F0A">
            <w:pPr>
              <w:jc w:val="center"/>
              <w:rPr>
                <w:b/>
                <w:bCs/>
                <w:color w:val="000000"/>
                <w:sz w:val="18"/>
                <w:szCs w:val="18"/>
                <w:lang w:eastAsia="sl-SI"/>
              </w:rPr>
            </w:pPr>
            <w:r w:rsidRPr="0070014D">
              <w:rPr>
                <w:b/>
                <w:bCs/>
                <w:color w:val="000000"/>
                <w:sz w:val="18"/>
                <w:szCs w:val="18"/>
                <w:lang w:eastAsia="sl-SI"/>
              </w:rPr>
              <w:t>Neskladni</w:t>
            </w:r>
          </w:p>
        </w:tc>
      </w:tr>
      <w:tr w:rsidR="00547393" w:rsidRPr="00825E46" w14:paraId="39DD3A3E" w14:textId="77777777" w:rsidTr="005752BD">
        <w:trPr>
          <w:trHeight w:val="33"/>
        </w:trPr>
        <w:tc>
          <w:tcPr>
            <w:tcW w:w="327" w:type="dxa"/>
            <w:vMerge w:val="restart"/>
            <w:tcBorders>
              <w:top w:val="nil"/>
              <w:left w:val="single" w:sz="4" w:space="0" w:color="auto"/>
              <w:right w:val="single" w:sz="4" w:space="0" w:color="auto"/>
            </w:tcBorders>
            <w:shd w:val="clear" w:color="auto" w:fill="auto"/>
            <w:noWrap/>
            <w:vAlign w:val="bottom"/>
          </w:tcPr>
          <w:p w14:paraId="3D3F6BAD" w14:textId="77777777" w:rsidR="00547393" w:rsidRPr="00485CC5" w:rsidRDefault="00565661" w:rsidP="00597F0A">
            <w:pPr>
              <w:jc w:val="right"/>
              <w:rPr>
                <w:color w:val="000000"/>
                <w:sz w:val="18"/>
                <w:szCs w:val="18"/>
                <w:lang w:eastAsia="sl-SI"/>
              </w:rPr>
            </w:pPr>
            <w:r>
              <w:rPr>
                <w:color w:val="000000"/>
                <w:sz w:val="18"/>
                <w:szCs w:val="18"/>
                <w:lang w:eastAsia="sl-SI"/>
              </w:rPr>
              <w:t>1</w:t>
            </w:r>
          </w:p>
        </w:tc>
        <w:tc>
          <w:tcPr>
            <w:tcW w:w="1634" w:type="dxa"/>
            <w:vMerge w:val="restart"/>
            <w:tcBorders>
              <w:top w:val="nil"/>
              <w:left w:val="nil"/>
              <w:bottom w:val="single" w:sz="4" w:space="0" w:color="auto"/>
              <w:right w:val="single" w:sz="4" w:space="0" w:color="auto"/>
            </w:tcBorders>
            <w:shd w:val="clear" w:color="auto" w:fill="auto"/>
            <w:noWrap/>
            <w:vAlign w:val="bottom"/>
            <w:hideMark/>
          </w:tcPr>
          <w:p w14:paraId="4512A503" w14:textId="77777777" w:rsidR="00547393" w:rsidRPr="00485CC5" w:rsidRDefault="00547393" w:rsidP="00597F0A">
            <w:pPr>
              <w:rPr>
                <w:sz w:val="18"/>
                <w:szCs w:val="18"/>
                <w:lang w:eastAsia="sl-SI"/>
              </w:rPr>
            </w:pPr>
            <w:r w:rsidRPr="00485CC5">
              <w:rPr>
                <w:sz w:val="18"/>
                <w:szCs w:val="18"/>
                <w:lang w:eastAsia="sl-SI"/>
              </w:rPr>
              <w:t>ČATEŠKA GORA</w:t>
            </w:r>
          </w:p>
        </w:tc>
        <w:tc>
          <w:tcPr>
            <w:tcW w:w="990" w:type="dxa"/>
            <w:vMerge w:val="restart"/>
            <w:tcBorders>
              <w:top w:val="nil"/>
              <w:left w:val="nil"/>
              <w:right w:val="single" w:sz="4" w:space="0" w:color="auto"/>
            </w:tcBorders>
            <w:shd w:val="clear" w:color="auto" w:fill="auto"/>
            <w:noWrap/>
            <w:vAlign w:val="bottom"/>
            <w:hideMark/>
          </w:tcPr>
          <w:p w14:paraId="775143C5" w14:textId="77777777" w:rsidR="00547393" w:rsidRPr="007774EB" w:rsidRDefault="00547393" w:rsidP="00597F0A">
            <w:pPr>
              <w:jc w:val="right"/>
              <w:rPr>
                <w:sz w:val="18"/>
                <w:szCs w:val="18"/>
                <w:lang w:eastAsia="sl-SI"/>
              </w:rPr>
            </w:pPr>
            <w:r w:rsidRPr="007774EB">
              <w:rPr>
                <w:sz w:val="18"/>
                <w:szCs w:val="18"/>
                <w:lang w:eastAsia="sl-SI"/>
              </w:rPr>
              <w:t>10</w:t>
            </w:r>
          </w:p>
        </w:tc>
        <w:tc>
          <w:tcPr>
            <w:tcW w:w="1050" w:type="dxa"/>
            <w:vMerge w:val="restart"/>
            <w:tcBorders>
              <w:top w:val="nil"/>
              <w:left w:val="nil"/>
              <w:right w:val="single" w:sz="4" w:space="0" w:color="auto"/>
            </w:tcBorders>
            <w:shd w:val="clear" w:color="auto" w:fill="auto"/>
            <w:noWrap/>
            <w:vAlign w:val="bottom"/>
            <w:hideMark/>
          </w:tcPr>
          <w:p w14:paraId="03A1DB0D" w14:textId="77777777" w:rsidR="00547393" w:rsidRPr="007774EB" w:rsidRDefault="00904FE0" w:rsidP="00597F0A">
            <w:pPr>
              <w:jc w:val="right"/>
              <w:rPr>
                <w:sz w:val="18"/>
                <w:szCs w:val="18"/>
                <w:lang w:eastAsia="sl-SI"/>
              </w:rPr>
            </w:pPr>
            <w:r w:rsidRPr="007774EB">
              <w:rPr>
                <w:sz w:val="18"/>
                <w:szCs w:val="18"/>
                <w:lang w:eastAsia="sl-SI"/>
              </w:rPr>
              <w:t>98</w:t>
            </w:r>
          </w:p>
        </w:tc>
        <w:tc>
          <w:tcPr>
            <w:tcW w:w="1060" w:type="dxa"/>
            <w:vMerge w:val="restart"/>
            <w:tcBorders>
              <w:top w:val="nil"/>
              <w:left w:val="nil"/>
              <w:right w:val="single" w:sz="4" w:space="0" w:color="auto"/>
            </w:tcBorders>
            <w:shd w:val="clear" w:color="auto" w:fill="auto"/>
            <w:noWrap/>
            <w:vAlign w:val="bottom"/>
            <w:hideMark/>
          </w:tcPr>
          <w:p w14:paraId="735D2636" w14:textId="77777777" w:rsidR="00547393" w:rsidRPr="00485CC5" w:rsidRDefault="00547393" w:rsidP="00597F0A">
            <w:pPr>
              <w:rPr>
                <w:sz w:val="18"/>
                <w:szCs w:val="18"/>
                <w:lang w:eastAsia="sl-SI"/>
              </w:rPr>
            </w:pPr>
            <w:r w:rsidRPr="00485CC5">
              <w:rPr>
                <w:sz w:val="18"/>
                <w:szCs w:val="18"/>
                <w:lang w:eastAsia="sl-SI"/>
              </w:rPr>
              <w:t>ni doziranja</w:t>
            </w:r>
          </w:p>
        </w:tc>
        <w:tc>
          <w:tcPr>
            <w:tcW w:w="1080" w:type="dxa"/>
            <w:tcBorders>
              <w:top w:val="nil"/>
              <w:left w:val="nil"/>
              <w:bottom w:val="single" w:sz="4" w:space="0" w:color="auto"/>
              <w:right w:val="single" w:sz="4" w:space="0" w:color="auto"/>
            </w:tcBorders>
            <w:shd w:val="clear" w:color="auto" w:fill="auto"/>
            <w:noWrap/>
            <w:vAlign w:val="bottom"/>
          </w:tcPr>
          <w:p w14:paraId="578FD110" w14:textId="77777777" w:rsidR="00547393" w:rsidRPr="00485CC5" w:rsidRDefault="00547393" w:rsidP="00597F0A">
            <w:pPr>
              <w:rPr>
                <w:sz w:val="18"/>
                <w:szCs w:val="18"/>
                <w:lang w:eastAsia="sl-SI"/>
              </w:rPr>
            </w:pPr>
            <w:r w:rsidRPr="00485CC5">
              <w:rPr>
                <w:sz w:val="18"/>
                <w:szCs w:val="18"/>
                <w:lang w:eastAsia="sl-SI"/>
              </w:rPr>
              <w:t>Notranji</w:t>
            </w:r>
          </w:p>
        </w:tc>
        <w:tc>
          <w:tcPr>
            <w:tcW w:w="391" w:type="dxa"/>
            <w:tcBorders>
              <w:top w:val="single" w:sz="4" w:space="0" w:color="auto"/>
              <w:left w:val="nil"/>
              <w:bottom w:val="single" w:sz="4" w:space="0" w:color="auto"/>
              <w:right w:val="nil"/>
            </w:tcBorders>
            <w:vAlign w:val="center"/>
          </w:tcPr>
          <w:p w14:paraId="43543EEF" w14:textId="77777777" w:rsidR="00547393" w:rsidRPr="00485CC5" w:rsidRDefault="00547393" w:rsidP="00597F0A">
            <w:pPr>
              <w:jc w:val="right"/>
              <w:rPr>
                <w:sz w:val="18"/>
                <w:szCs w:val="18"/>
                <w:lang w:eastAsia="sl-SI"/>
              </w:rPr>
            </w:pPr>
            <w:r w:rsidRPr="00485CC5">
              <w:rPr>
                <w:sz w:val="18"/>
                <w:szCs w:val="18"/>
                <w:lang w:eastAsia="sl-SI"/>
              </w:rPr>
              <w:t>4</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1FF34CA" w14:textId="77777777" w:rsidR="00547393" w:rsidRPr="00485CC5" w:rsidRDefault="00547393" w:rsidP="00597F0A">
            <w:pPr>
              <w:jc w:val="right"/>
              <w:rPr>
                <w:sz w:val="18"/>
                <w:szCs w:val="18"/>
                <w:lang w:eastAsia="sl-SI"/>
              </w:rPr>
            </w:pPr>
            <w:r w:rsidRPr="00485CC5">
              <w:rPr>
                <w:sz w:val="18"/>
                <w:szCs w:val="18"/>
                <w:lang w:eastAsia="sl-SI"/>
              </w:rPr>
              <w:t>0</w:t>
            </w:r>
          </w:p>
        </w:tc>
        <w:tc>
          <w:tcPr>
            <w:tcW w:w="983" w:type="dxa"/>
            <w:tcBorders>
              <w:top w:val="single" w:sz="4" w:space="0" w:color="auto"/>
              <w:left w:val="nil"/>
              <w:bottom w:val="single" w:sz="4" w:space="0" w:color="auto"/>
              <w:right w:val="single" w:sz="4" w:space="0" w:color="auto"/>
            </w:tcBorders>
            <w:shd w:val="clear" w:color="auto" w:fill="auto"/>
            <w:vAlign w:val="bottom"/>
          </w:tcPr>
          <w:p w14:paraId="0698D452" w14:textId="77777777" w:rsidR="00547393" w:rsidRPr="00485CC5" w:rsidRDefault="00CA7DEC" w:rsidP="00597F0A">
            <w:pPr>
              <w:jc w:val="center"/>
              <w:rPr>
                <w:sz w:val="18"/>
                <w:szCs w:val="18"/>
                <w:lang w:eastAsia="sl-SI"/>
              </w:rPr>
            </w:pPr>
            <w:r>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14:paraId="30160457" w14:textId="77777777" w:rsidR="00547393" w:rsidRPr="00485CC5" w:rsidRDefault="00547393" w:rsidP="00597F0A">
            <w:pPr>
              <w:jc w:val="center"/>
              <w:rPr>
                <w:sz w:val="18"/>
                <w:szCs w:val="18"/>
                <w:lang w:eastAsia="sl-SI"/>
              </w:rPr>
            </w:pPr>
            <w:r w:rsidRPr="00485CC5">
              <w:rPr>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14:paraId="57B13A12" w14:textId="77777777" w:rsidR="00547393" w:rsidRPr="00485CC5" w:rsidRDefault="00547393" w:rsidP="00597F0A">
            <w:pPr>
              <w:jc w:val="right"/>
              <w:rPr>
                <w:sz w:val="18"/>
                <w:szCs w:val="18"/>
                <w:lang w:eastAsia="sl-SI"/>
              </w:rPr>
            </w:pPr>
            <w:r w:rsidRPr="00485CC5">
              <w:rPr>
                <w:sz w:val="18"/>
                <w:szCs w:val="18"/>
                <w:lang w:eastAsia="sl-SI"/>
              </w:rPr>
              <w:t>1</w:t>
            </w:r>
          </w:p>
        </w:tc>
        <w:tc>
          <w:tcPr>
            <w:tcW w:w="875" w:type="dxa"/>
            <w:tcBorders>
              <w:top w:val="nil"/>
              <w:left w:val="nil"/>
              <w:bottom w:val="single" w:sz="4" w:space="0" w:color="auto"/>
              <w:right w:val="single" w:sz="4" w:space="0" w:color="auto"/>
            </w:tcBorders>
            <w:shd w:val="clear" w:color="auto" w:fill="auto"/>
            <w:noWrap/>
            <w:vAlign w:val="bottom"/>
          </w:tcPr>
          <w:p w14:paraId="450DB4C8" w14:textId="77777777" w:rsidR="00547393" w:rsidRPr="00485CC5" w:rsidRDefault="00547393" w:rsidP="00597F0A">
            <w:pPr>
              <w:jc w:val="right"/>
              <w:rPr>
                <w:sz w:val="18"/>
                <w:szCs w:val="18"/>
                <w:lang w:eastAsia="sl-SI"/>
              </w:rPr>
            </w:pPr>
            <w:r w:rsidRPr="00485CC5">
              <w:rPr>
                <w:sz w:val="18"/>
                <w:szCs w:val="18"/>
                <w:lang w:eastAsia="sl-SI"/>
              </w:rPr>
              <w:t>0</w:t>
            </w:r>
          </w:p>
        </w:tc>
      </w:tr>
      <w:tr w:rsidR="00547393" w:rsidRPr="00825E46" w14:paraId="61016317" w14:textId="77777777" w:rsidTr="005752BD">
        <w:trPr>
          <w:trHeight w:val="33"/>
        </w:trPr>
        <w:tc>
          <w:tcPr>
            <w:tcW w:w="327" w:type="dxa"/>
            <w:vMerge/>
            <w:tcBorders>
              <w:left w:val="single" w:sz="4" w:space="0" w:color="auto"/>
              <w:bottom w:val="single" w:sz="4" w:space="0" w:color="auto"/>
              <w:right w:val="single" w:sz="4" w:space="0" w:color="auto"/>
            </w:tcBorders>
            <w:shd w:val="clear" w:color="auto" w:fill="auto"/>
            <w:noWrap/>
            <w:vAlign w:val="bottom"/>
          </w:tcPr>
          <w:p w14:paraId="77103157" w14:textId="77777777" w:rsidR="00547393" w:rsidRPr="00485CC5" w:rsidRDefault="00547393" w:rsidP="00597F0A">
            <w:pPr>
              <w:jc w:val="right"/>
              <w:rPr>
                <w:color w:val="000000"/>
                <w:sz w:val="18"/>
                <w:szCs w:val="18"/>
                <w:lang w:eastAsia="sl-SI"/>
              </w:rPr>
            </w:pPr>
          </w:p>
        </w:tc>
        <w:tc>
          <w:tcPr>
            <w:tcW w:w="1634" w:type="dxa"/>
            <w:vMerge/>
            <w:tcBorders>
              <w:left w:val="nil"/>
              <w:bottom w:val="single" w:sz="4" w:space="0" w:color="auto"/>
              <w:right w:val="single" w:sz="4" w:space="0" w:color="auto"/>
            </w:tcBorders>
            <w:shd w:val="clear" w:color="auto" w:fill="auto"/>
            <w:noWrap/>
            <w:vAlign w:val="bottom"/>
          </w:tcPr>
          <w:p w14:paraId="4341C81F" w14:textId="77777777" w:rsidR="00547393" w:rsidRPr="00485CC5" w:rsidRDefault="00547393" w:rsidP="00597F0A">
            <w:pPr>
              <w:rPr>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14:paraId="4DA72E4B" w14:textId="77777777" w:rsidR="00547393" w:rsidRPr="00485CC5" w:rsidRDefault="00547393" w:rsidP="00597F0A">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14:paraId="21A7D5B4" w14:textId="77777777" w:rsidR="00547393" w:rsidRPr="00485CC5" w:rsidRDefault="00547393" w:rsidP="00597F0A">
            <w:pPr>
              <w:jc w:val="right"/>
              <w:rPr>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14:paraId="3EBE27CB" w14:textId="77777777" w:rsidR="00547393" w:rsidRPr="00485CC5" w:rsidRDefault="00547393" w:rsidP="00597F0A">
            <w:pPr>
              <w:rPr>
                <w:sz w:val="18"/>
                <w:szCs w:val="18"/>
                <w:lang w:eastAsia="sl-SI"/>
              </w:rPr>
            </w:pPr>
          </w:p>
        </w:tc>
        <w:tc>
          <w:tcPr>
            <w:tcW w:w="1080" w:type="dxa"/>
            <w:tcBorders>
              <w:top w:val="nil"/>
              <w:left w:val="nil"/>
              <w:bottom w:val="single" w:sz="4" w:space="0" w:color="auto"/>
              <w:right w:val="single" w:sz="4" w:space="0" w:color="auto"/>
            </w:tcBorders>
            <w:shd w:val="clear" w:color="auto" w:fill="auto"/>
            <w:noWrap/>
            <w:vAlign w:val="bottom"/>
          </w:tcPr>
          <w:p w14:paraId="20096293" w14:textId="77777777" w:rsidR="00547393" w:rsidRPr="00485CC5" w:rsidRDefault="00547393" w:rsidP="00597F0A">
            <w:pPr>
              <w:rPr>
                <w:sz w:val="18"/>
                <w:szCs w:val="18"/>
                <w:lang w:eastAsia="sl-SI"/>
              </w:rPr>
            </w:pPr>
            <w:r w:rsidRPr="00485CC5">
              <w:rPr>
                <w:sz w:val="18"/>
                <w:szCs w:val="18"/>
                <w:lang w:eastAsia="sl-SI"/>
              </w:rPr>
              <w:t>Monitoring</w:t>
            </w:r>
          </w:p>
        </w:tc>
        <w:tc>
          <w:tcPr>
            <w:tcW w:w="391" w:type="dxa"/>
            <w:tcBorders>
              <w:top w:val="single" w:sz="4" w:space="0" w:color="auto"/>
              <w:left w:val="nil"/>
              <w:bottom w:val="single" w:sz="4" w:space="0" w:color="auto"/>
              <w:right w:val="nil"/>
            </w:tcBorders>
            <w:vAlign w:val="center"/>
          </w:tcPr>
          <w:p w14:paraId="2317745A" w14:textId="77777777" w:rsidR="00547393" w:rsidRPr="00485CC5" w:rsidRDefault="00547393" w:rsidP="00597F0A">
            <w:pPr>
              <w:jc w:val="right"/>
              <w:rPr>
                <w:sz w:val="18"/>
                <w:szCs w:val="18"/>
                <w:lang w:eastAsia="sl-SI"/>
              </w:rPr>
            </w:pPr>
            <w:r w:rsidRPr="00485CC5">
              <w:rPr>
                <w:sz w:val="18"/>
                <w:szCs w:val="18"/>
                <w:lang w:eastAsia="sl-SI"/>
              </w:rPr>
              <w:t>2</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5D75718" w14:textId="77777777" w:rsidR="00547393" w:rsidRPr="00485CC5" w:rsidRDefault="00547393" w:rsidP="00597F0A">
            <w:pPr>
              <w:jc w:val="right"/>
              <w:rPr>
                <w:sz w:val="18"/>
                <w:szCs w:val="18"/>
                <w:lang w:eastAsia="sl-SI"/>
              </w:rPr>
            </w:pPr>
            <w:r w:rsidRPr="00485CC5">
              <w:rPr>
                <w:sz w:val="18"/>
                <w:szCs w:val="18"/>
                <w:lang w:eastAsia="sl-SI"/>
              </w:rPr>
              <w:t>1</w:t>
            </w:r>
          </w:p>
        </w:tc>
        <w:tc>
          <w:tcPr>
            <w:tcW w:w="983" w:type="dxa"/>
            <w:tcBorders>
              <w:top w:val="single" w:sz="4" w:space="0" w:color="auto"/>
              <w:left w:val="nil"/>
              <w:bottom w:val="single" w:sz="4" w:space="0" w:color="auto"/>
              <w:right w:val="single" w:sz="4" w:space="0" w:color="auto"/>
            </w:tcBorders>
            <w:shd w:val="clear" w:color="auto" w:fill="auto"/>
            <w:vAlign w:val="bottom"/>
          </w:tcPr>
          <w:p w14:paraId="4135089D" w14:textId="77777777" w:rsidR="00547393" w:rsidRPr="00485CC5" w:rsidRDefault="00547393" w:rsidP="00597F0A">
            <w:pPr>
              <w:jc w:val="center"/>
              <w:rPr>
                <w:sz w:val="18"/>
                <w:szCs w:val="18"/>
                <w:lang w:eastAsia="sl-SI"/>
              </w:rPr>
            </w:pPr>
            <w:r w:rsidRPr="00485CC5">
              <w:rPr>
                <w:sz w:val="18"/>
                <w:szCs w:val="18"/>
                <w:lang w:eastAsia="sl-SI"/>
              </w:rPr>
              <w:t>Koliformne bakterije</w:t>
            </w:r>
          </w:p>
        </w:tc>
        <w:tc>
          <w:tcPr>
            <w:tcW w:w="1120" w:type="dxa"/>
            <w:tcBorders>
              <w:top w:val="single" w:sz="4" w:space="0" w:color="auto"/>
              <w:left w:val="nil"/>
              <w:bottom w:val="single" w:sz="4" w:space="0" w:color="auto"/>
              <w:right w:val="single" w:sz="4" w:space="0" w:color="auto"/>
            </w:tcBorders>
            <w:shd w:val="clear" w:color="auto" w:fill="auto"/>
            <w:vAlign w:val="bottom"/>
          </w:tcPr>
          <w:p w14:paraId="2A984128" w14:textId="77777777" w:rsidR="00547393" w:rsidRPr="00485CC5" w:rsidRDefault="00547393" w:rsidP="00597F0A">
            <w:pPr>
              <w:jc w:val="center"/>
              <w:rPr>
                <w:sz w:val="18"/>
                <w:szCs w:val="18"/>
                <w:lang w:eastAsia="sl-SI"/>
              </w:rPr>
            </w:pPr>
            <w:r w:rsidRPr="00485CC5">
              <w:rPr>
                <w:sz w:val="18"/>
                <w:szCs w:val="18"/>
                <w:lang w:eastAsia="sl-SI"/>
              </w:rPr>
              <w:t>Spiranje cevovodov</w:t>
            </w:r>
          </w:p>
        </w:tc>
        <w:tc>
          <w:tcPr>
            <w:tcW w:w="391" w:type="dxa"/>
            <w:tcBorders>
              <w:top w:val="nil"/>
              <w:left w:val="nil"/>
              <w:bottom w:val="single" w:sz="4" w:space="0" w:color="auto"/>
              <w:right w:val="single" w:sz="4" w:space="0" w:color="auto"/>
            </w:tcBorders>
            <w:shd w:val="clear" w:color="auto" w:fill="auto"/>
            <w:noWrap/>
            <w:vAlign w:val="bottom"/>
          </w:tcPr>
          <w:p w14:paraId="2E08785E" w14:textId="77777777" w:rsidR="00547393" w:rsidRPr="00485CC5" w:rsidRDefault="00547393" w:rsidP="00597F0A">
            <w:pPr>
              <w:jc w:val="right"/>
              <w:rPr>
                <w:sz w:val="18"/>
                <w:szCs w:val="18"/>
                <w:lang w:eastAsia="sl-SI"/>
              </w:rPr>
            </w:pPr>
            <w:r w:rsidRPr="00485CC5">
              <w:rPr>
                <w:sz w:val="18"/>
                <w:szCs w:val="18"/>
                <w:lang w:eastAsia="sl-SI"/>
              </w:rPr>
              <w:t>0</w:t>
            </w:r>
          </w:p>
        </w:tc>
        <w:tc>
          <w:tcPr>
            <w:tcW w:w="875" w:type="dxa"/>
            <w:tcBorders>
              <w:top w:val="nil"/>
              <w:left w:val="nil"/>
              <w:bottom w:val="single" w:sz="4" w:space="0" w:color="auto"/>
              <w:right w:val="single" w:sz="4" w:space="0" w:color="auto"/>
            </w:tcBorders>
            <w:shd w:val="clear" w:color="auto" w:fill="auto"/>
            <w:noWrap/>
            <w:vAlign w:val="bottom"/>
          </w:tcPr>
          <w:p w14:paraId="15FE8A03" w14:textId="77777777" w:rsidR="00547393" w:rsidRPr="00485CC5" w:rsidRDefault="00547393" w:rsidP="00597F0A">
            <w:pPr>
              <w:jc w:val="right"/>
              <w:rPr>
                <w:sz w:val="18"/>
                <w:szCs w:val="18"/>
                <w:lang w:eastAsia="sl-SI"/>
              </w:rPr>
            </w:pPr>
            <w:r w:rsidRPr="00485CC5">
              <w:rPr>
                <w:sz w:val="18"/>
                <w:szCs w:val="18"/>
                <w:lang w:eastAsia="sl-SI"/>
              </w:rPr>
              <w:t>0</w:t>
            </w:r>
          </w:p>
        </w:tc>
      </w:tr>
      <w:tr w:rsidR="00547393" w:rsidRPr="00825E46" w14:paraId="2296A150" w14:textId="77777777" w:rsidTr="005752BD">
        <w:trPr>
          <w:trHeight w:val="33"/>
        </w:trPr>
        <w:tc>
          <w:tcPr>
            <w:tcW w:w="327" w:type="dxa"/>
            <w:vMerge w:val="restart"/>
            <w:tcBorders>
              <w:top w:val="nil"/>
              <w:left w:val="single" w:sz="4" w:space="0" w:color="auto"/>
              <w:right w:val="single" w:sz="4" w:space="0" w:color="auto"/>
            </w:tcBorders>
            <w:shd w:val="clear" w:color="auto" w:fill="auto"/>
            <w:noWrap/>
            <w:vAlign w:val="bottom"/>
          </w:tcPr>
          <w:p w14:paraId="0D434692" w14:textId="77777777" w:rsidR="00547393" w:rsidRPr="00485CC5" w:rsidRDefault="00565661" w:rsidP="00597F0A">
            <w:pPr>
              <w:jc w:val="right"/>
              <w:rPr>
                <w:color w:val="000000"/>
                <w:sz w:val="18"/>
                <w:szCs w:val="18"/>
                <w:lang w:eastAsia="sl-SI"/>
              </w:rPr>
            </w:pPr>
            <w:r>
              <w:rPr>
                <w:color w:val="000000"/>
                <w:sz w:val="18"/>
                <w:szCs w:val="18"/>
                <w:lang w:eastAsia="sl-SI"/>
              </w:rPr>
              <w:t>2</w:t>
            </w:r>
          </w:p>
        </w:tc>
        <w:tc>
          <w:tcPr>
            <w:tcW w:w="1634" w:type="dxa"/>
            <w:vMerge w:val="restart"/>
            <w:tcBorders>
              <w:top w:val="nil"/>
              <w:left w:val="nil"/>
              <w:bottom w:val="single" w:sz="4" w:space="0" w:color="auto"/>
              <w:right w:val="single" w:sz="4" w:space="0" w:color="auto"/>
            </w:tcBorders>
            <w:shd w:val="clear" w:color="auto" w:fill="auto"/>
            <w:noWrap/>
            <w:vAlign w:val="center"/>
            <w:hideMark/>
          </w:tcPr>
          <w:p w14:paraId="68F70104" w14:textId="77777777" w:rsidR="00547393" w:rsidRPr="00485CC5" w:rsidRDefault="00547393" w:rsidP="00597F0A">
            <w:pPr>
              <w:rPr>
                <w:color w:val="000000"/>
                <w:sz w:val="18"/>
                <w:szCs w:val="18"/>
                <w:lang w:eastAsia="sl-SI"/>
              </w:rPr>
            </w:pPr>
            <w:r w:rsidRPr="00485CC5">
              <w:rPr>
                <w:color w:val="000000"/>
                <w:sz w:val="18"/>
                <w:szCs w:val="18"/>
                <w:lang w:eastAsia="sl-SI"/>
              </w:rPr>
              <w:t>GABROVKA</w:t>
            </w:r>
          </w:p>
        </w:tc>
        <w:tc>
          <w:tcPr>
            <w:tcW w:w="990" w:type="dxa"/>
            <w:vMerge w:val="restart"/>
            <w:tcBorders>
              <w:top w:val="nil"/>
              <w:left w:val="nil"/>
              <w:right w:val="single" w:sz="4" w:space="0" w:color="auto"/>
            </w:tcBorders>
            <w:shd w:val="clear" w:color="auto" w:fill="auto"/>
            <w:noWrap/>
            <w:vAlign w:val="bottom"/>
            <w:hideMark/>
          </w:tcPr>
          <w:p w14:paraId="66EED636" w14:textId="77777777" w:rsidR="00547393" w:rsidRPr="007774EB" w:rsidRDefault="00547393" w:rsidP="00597F0A">
            <w:pPr>
              <w:jc w:val="right"/>
              <w:rPr>
                <w:sz w:val="18"/>
                <w:szCs w:val="18"/>
                <w:lang w:eastAsia="sl-SI"/>
              </w:rPr>
            </w:pPr>
            <w:r w:rsidRPr="007774EB">
              <w:rPr>
                <w:sz w:val="18"/>
                <w:szCs w:val="18"/>
                <w:lang w:eastAsia="sl-SI"/>
              </w:rPr>
              <w:t>57</w:t>
            </w:r>
          </w:p>
        </w:tc>
        <w:tc>
          <w:tcPr>
            <w:tcW w:w="1050" w:type="dxa"/>
            <w:vMerge w:val="restart"/>
            <w:tcBorders>
              <w:top w:val="nil"/>
              <w:left w:val="nil"/>
              <w:right w:val="single" w:sz="4" w:space="0" w:color="auto"/>
            </w:tcBorders>
            <w:shd w:val="clear" w:color="auto" w:fill="auto"/>
            <w:noWrap/>
            <w:vAlign w:val="bottom"/>
            <w:hideMark/>
          </w:tcPr>
          <w:p w14:paraId="739CB4B3" w14:textId="77777777" w:rsidR="00547393" w:rsidRPr="007774EB" w:rsidRDefault="00547393" w:rsidP="00597F0A">
            <w:pPr>
              <w:jc w:val="right"/>
              <w:rPr>
                <w:sz w:val="18"/>
                <w:szCs w:val="18"/>
                <w:lang w:eastAsia="sl-SI"/>
              </w:rPr>
            </w:pPr>
            <w:r w:rsidRPr="007774EB">
              <w:rPr>
                <w:sz w:val="18"/>
                <w:szCs w:val="18"/>
                <w:lang w:eastAsia="sl-SI"/>
              </w:rPr>
              <w:t>550</w:t>
            </w:r>
          </w:p>
        </w:tc>
        <w:tc>
          <w:tcPr>
            <w:tcW w:w="1060" w:type="dxa"/>
            <w:vMerge w:val="restart"/>
            <w:tcBorders>
              <w:top w:val="nil"/>
              <w:left w:val="nil"/>
              <w:right w:val="single" w:sz="4" w:space="0" w:color="auto"/>
            </w:tcBorders>
            <w:shd w:val="clear" w:color="auto" w:fill="auto"/>
            <w:noWrap/>
            <w:vAlign w:val="bottom"/>
            <w:hideMark/>
          </w:tcPr>
          <w:p w14:paraId="5DCD241F" w14:textId="77777777" w:rsidR="00547393" w:rsidRPr="00485CC5" w:rsidRDefault="00547393" w:rsidP="00597F0A">
            <w:pPr>
              <w:rPr>
                <w:sz w:val="18"/>
                <w:szCs w:val="18"/>
                <w:lang w:eastAsia="sl-SI"/>
              </w:rPr>
            </w:pPr>
            <w:proofErr w:type="spellStart"/>
            <w:r w:rsidRPr="00485CC5">
              <w:rPr>
                <w:sz w:val="18"/>
                <w:szCs w:val="18"/>
                <w:lang w:eastAsia="sl-SI"/>
              </w:rPr>
              <w:t>NaOCl</w:t>
            </w:r>
            <w:proofErr w:type="spellEnd"/>
          </w:p>
        </w:tc>
        <w:tc>
          <w:tcPr>
            <w:tcW w:w="1080" w:type="dxa"/>
            <w:tcBorders>
              <w:top w:val="nil"/>
              <w:left w:val="nil"/>
              <w:bottom w:val="single" w:sz="4" w:space="0" w:color="auto"/>
              <w:right w:val="single" w:sz="4" w:space="0" w:color="auto"/>
            </w:tcBorders>
            <w:shd w:val="clear" w:color="auto" w:fill="auto"/>
            <w:noWrap/>
            <w:vAlign w:val="bottom"/>
          </w:tcPr>
          <w:p w14:paraId="21EFA516" w14:textId="77777777" w:rsidR="00547393" w:rsidRPr="00485CC5" w:rsidRDefault="00547393" w:rsidP="00597F0A">
            <w:pPr>
              <w:rPr>
                <w:sz w:val="18"/>
                <w:szCs w:val="18"/>
                <w:lang w:eastAsia="sl-SI"/>
              </w:rPr>
            </w:pPr>
            <w:r w:rsidRPr="00485CC5">
              <w:rPr>
                <w:sz w:val="18"/>
                <w:szCs w:val="18"/>
                <w:lang w:eastAsia="sl-SI"/>
              </w:rPr>
              <w:t>Notranji</w:t>
            </w:r>
          </w:p>
        </w:tc>
        <w:tc>
          <w:tcPr>
            <w:tcW w:w="391" w:type="dxa"/>
            <w:tcBorders>
              <w:top w:val="single" w:sz="4" w:space="0" w:color="auto"/>
              <w:left w:val="nil"/>
              <w:bottom w:val="single" w:sz="4" w:space="0" w:color="auto"/>
              <w:right w:val="nil"/>
            </w:tcBorders>
            <w:vAlign w:val="center"/>
          </w:tcPr>
          <w:p w14:paraId="019CFF15" w14:textId="77777777" w:rsidR="00547393" w:rsidRPr="00485CC5" w:rsidRDefault="00547393" w:rsidP="00597F0A">
            <w:pPr>
              <w:jc w:val="right"/>
              <w:rPr>
                <w:sz w:val="18"/>
                <w:szCs w:val="18"/>
                <w:lang w:eastAsia="sl-SI"/>
              </w:rPr>
            </w:pPr>
            <w:r w:rsidRPr="00485CC5">
              <w:rPr>
                <w:sz w:val="18"/>
                <w:szCs w:val="18"/>
                <w:lang w:eastAsia="sl-SI"/>
              </w:rPr>
              <w:t>8</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EF2840B" w14:textId="77777777" w:rsidR="00547393" w:rsidRPr="00485CC5" w:rsidRDefault="00547393" w:rsidP="00597F0A">
            <w:pPr>
              <w:jc w:val="right"/>
              <w:rPr>
                <w:sz w:val="18"/>
                <w:szCs w:val="18"/>
                <w:lang w:eastAsia="sl-SI"/>
              </w:rPr>
            </w:pPr>
            <w:r w:rsidRPr="00485CC5">
              <w:rPr>
                <w:sz w:val="18"/>
                <w:szCs w:val="18"/>
                <w:lang w:eastAsia="sl-SI"/>
              </w:rPr>
              <w:t>0</w:t>
            </w:r>
          </w:p>
        </w:tc>
        <w:tc>
          <w:tcPr>
            <w:tcW w:w="983" w:type="dxa"/>
            <w:tcBorders>
              <w:top w:val="single" w:sz="4" w:space="0" w:color="auto"/>
              <w:left w:val="nil"/>
              <w:bottom w:val="single" w:sz="4" w:space="0" w:color="auto"/>
              <w:right w:val="single" w:sz="4" w:space="0" w:color="auto"/>
            </w:tcBorders>
            <w:shd w:val="clear" w:color="auto" w:fill="auto"/>
            <w:vAlign w:val="bottom"/>
          </w:tcPr>
          <w:p w14:paraId="38C09BC6" w14:textId="77777777" w:rsidR="00547393" w:rsidRPr="00485CC5" w:rsidRDefault="00547393" w:rsidP="00597F0A">
            <w:pPr>
              <w:jc w:val="center"/>
              <w:rPr>
                <w:sz w:val="18"/>
                <w:szCs w:val="18"/>
                <w:lang w:eastAsia="sl-SI"/>
              </w:rPr>
            </w:pPr>
            <w:r w:rsidRPr="00485CC5">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14:paraId="5024D106" w14:textId="77777777" w:rsidR="00547393" w:rsidRPr="00485CC5" w:rsidRDefault="00547393" w:rsidP="00597F0A">
            <w:pPr>
              <w:jc w:val="center"/>
              <w:rPr>
                <w:sz w:val="18"/>
                <w:szCs w:val="18"/>
                <w:lang w:eastAsia="sl-SI"/>
              </w:rPr>
            </w:pPr>
            <w:r w:rsidRPr="00485CC5">
              <w:rPr>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14:paraId="2F73A1B5" w14:textId="77777777" w:rsidR="00547393" w:rsidRPr="00485CC5" w:rsidRDefault="00547393" w:rsidP="00597F0A">
            <w:pPr>
              <w:jc w:val="right"/>
              <w:rPr>
                <w:sz w:val="18"/>
                <w:szCs w:val="18"/>
                <w:lang w:eastAsia="sl-SI"/>
              </w:rPr>
            </w:pPr>
            <w:r w:rsidRPr="00485CC5">
              <w:rPr>
                <w:sz w:val="18"/>
                <w:szCs w:val="18"/>
                <w:lang w:eastAsia="sl-SI"/>
              </w:rPr>
              <w:t>2</w:t>
            </w:r>
          </w:p>
        </w:tc>
        <w:tc>
          <w:tcPr>
            <w:tcW w:w="875" w:type="dxa"/>
            <w:tcBorders>
              <w:top w:val="nil"/>
              <w:left w:val="nil"/>
              <w:bottom w:val="single" w:sz="4" w:space="0" w:color="auto"/>
              <w:right w:val="single" w:sz="4" w:space="0" w:color="auto"/>
            </w:tcBorders>
            <w:shd w:val="clear" w:color="auto" w:fill="auto"/>
            <w:noWrap/>
            <w:vAlign w:val="bottom"/>
          </w:tcPr>
          <w:p w14:paraId="020F5E05" w14:textId="77777777" w:rsidR="00547393" w:rsidRPr="00485CC5" w:rsidRDefault="00547393" w:rsidP="00597F0A">
            <w:pPr>
              <w:jc w:val="right"/>
              <w:rPr>
                <w:sz w:val="18"/>
                <w:szCs w:val="18"/>
                <w:lang w:eastAsia="sl-SI"/>
              </w:rPr>
            </w:pPr>
            <w:r w:rsidRPr="00485CC5">
              <w:rPr>
                <w:sz w:val="18"/>
                <w:szCs w:val="18"/>
                <w:lang w:eastAsia="sl-SI"/>
              </w:rPr>
              <w:t>0</w:t>
            </w:r>
          </w:p>
        </w:tc>
      </w:tr>
      <w:tr w:rsidR="00547393" w:rsidRPr="00825E46" w14:paraId="20BA21AA" w14:textId="77777777" w:rsidTr="005752BD">
        <w:trPr>
          <w:trHeight w:val="33"/>
        </w:trPr>
        <w:tc>
          <w:tcPr>
            <w:tcW w:w="327" w:type="dxa"/>
            <w:vMerge/>
            <w:tcBorders>
              <w:left w:val="single" w:sz="4" w:space="0" w:color="auto"/>
              <w:bottom w:val="single" w:sz="4" w:space="0" w:color="auto"/>
              <w:right w:val="single" w:sz="4" w:space="0" w:color="auto"/>
            </w:tcBorders>
            <w:shd w:val="clear" w:color="auto" w:fill="auto"/>
            <w:noWrap/>
            <w:vAlign w:val="bottom"/>
          </w:tcPr>
          <w:p w14:paraId="07B73616" w14:textId="77777777" w:rsidR="00547393" w:rsidRPr="00485CC5" w:rsidRDefault="00547393" w:rsidP="00597F0A">
            <w:pPr>
              <w:jc w:val="right"/>
              <w:rPr>
                <w:color w:val="000000"/>
                <w:sz w:val="18"/>
                <w:szCs w:val="18"/>
                <w:lang w:eastAsia="sl-SI"/>
              </w:rPr>
            </w:pPr>
          </w:p>
        </w:tc>
        <w:tc>
          <w:tcPr>
            <w:tcW w:w="1634" w:type="dxa"/>
            <w:vMerge/>
            <w:tcBorders>
              <w:left w:val="nil"/>
              <w:bottom w:val="single" w:sz="4" w:space="0" w:color="auto"/>
              <w:right w:val="single" w:sz="4" w:space="0" w:color="auto"/>
            </w:tcBorders>
            <w:shd w:val="clear" w:color="auto" w:fill="auto"/>
            <w:noWrap/>
            <w:vAlign w:val="bottom"/>
          </w:tcPr>
          <w:p w14:paraId="1AA2A111" w14:textId="77777777" w:rsidR="00547393" w:rsidRPr="00485CC5" w:rsidRDefault="00547393" w:rsidP="00597F0A">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14:paraId="6C09D00E" w14:textId="77777777" w:rsidR="00547393" w:rsidRPr="00485CC5" w:rsidRDefault="00547393" w:rsidP="00597F0A">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14:paraId="4F7FA2D8" w14:textId="77777777" w:rsidR="00547393" w:rsidRPr="00485CC5" w:rsidRDefault="00547393" w:rsidP="00597F0A">
            <w:pPr>
              <w:jc w:val="right"/>
              <w:rPr>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14:paraId="6E9718C0" w14:textId="77777777" w:rsidR="00547393" w:rsidRPr="00485CC5" w:rsidRDefault="00547393" w:rsidP="00597F0A">
            <w:pPr>
              <w:rPr>
                <w:sz w:val="18"/>
                <w:szCs w:val="18"/>
                <w:lang w:eastAsia="sl-SI"/>
              </w:rPr>
            </w:pPr>
          </w:p>
        </w:tc>
        <w:tc>
          <w:tcPr>
            <w:tcW w:w="1080" w:type="dxa"/>
            <w:tcBorders>
              <w:top w:val="nil"/>
              <w:left w:val="nil"/>
              <w:bottom w:val="single" w:sz="4" w:space="0" w:color="auto"/>
              <w:right w:val="single" w:sz="4" w:space="0" w:color="auto"/>
            </w:tcBorders>
            <w:shd w:val="clear" w:color="auto" w:fill="auto"/>
            <w:noWrap/>
            <w:vAlign w:val="bottom"/>
          </w:tcPr>
          <w:p w14:paraId="359D6740" w14:textId="77777777" w:rsidR="00547393" w:rsidRPr="00485CC5" w:rsidRDefault="00547393" w:rsidP="00597F0A">
            <w:pPr>
              <w:rPr>
                <w:sz w:val="18"/>
                <w:szCs w:val="18"/>
                <w:lang w:eastAsia="sl-SI"/>
              </w:rPr>
            </w:pPr>
            <w:r w:rsidRPr="00485CC5">
              <w:rPr>
                <w:sz w:val="18"/>
                <w:szCs w:val="18"/>
                <w:lang w:eastAsia="sl-SI"/>
              </w:rPr>
              <w:t>Monitoring</w:t>
            </w:r>
          </w:p>
        </w:tc>
        <w:tc>
          <w:tcPr>
            <w:tcW w:w="391" w:type="dxa"/>
            <w:tcBorders>
              <w:top w:val="single" w:sz="4" w:space="0" w:color="auto"/>
              <w:left w:val="nil"/>
              <w:bottom w:val="single" w:sz="4" w:space="0" w:color="auto"/>
              <w:right w:val="nil"/>
            </w:tcBorders>
            <w:vAlign w:val="center"/>
          </w:tcPr>
          <w:p w14:paraId="728ED27F" w14:textId="77777777" w:rsidR="00547393" w:rsidRPr="00485CC5" w:rsidRDefault="00547393" w:rsidP="00597F0A">
            <w:pPr>
              <w:jc w:val="right"/>
              <w:rPr>
                <w:sz w:val="18"/>
                <w:szCs w:val="18"/>
                <w:lang w:eastAsia="sl-SI"/>
              </w:rPr>
            </w:pPr>
            <w:r w:rsidRPr="00485CC5">
              <w:rPr>
                <w:sz w:val="18"/>
                <w:szCs w:val="18"/>
                <w:lang w:eastAsia="sl-SI"/>
              </w:rPr>
              <w:t>5</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C2E4094" w14:textId="77777777" w:rsidR="00547393" w:rsidRPr="00485CC5" w:rsidRDefault="00547393" w:rsidP="00597F0A">
            <w:pPr>
              <w:jc w:val="right"/>
              <w:rPr>
                <w:sz w:val="18"/>
                <w:szCs w:val="18"/>
                <w:lang w:eastAsia="sl-SI"/>
              </w:rPr>
            </w:pPr>
            <w:r w:rsidRPr="00485CC5">
              <w:rPr>
                <w:sz w:val="18"/>
                <w:szCs w:val="18"/>
                <w:lang w:eastAsia="sl-SI"/>
              </w:rPr>
              <w:t>0</w:t>
            </w:r>
          </w:p>
        </w:tc>
        <w:tc>
          <w:tcPr>
            <w:tcW w:w="983" w:type="dxa"/>
            <w:tcBorders>
              <w:top w:val="single" w:sz="4" w:space="0" w:color="auto"/>
              <w:left w:val="nil"/>
              <w:bottom w:val="single" w:sz="4" w:space="0" w:color="auto"/>
              <w:right w:val="single" w:sz="4" w:space="0" w:color="auto"/>
            </w:tcBorders>
            <w:shd w:val="clear" w:color="auto" w:fill="auto"/>
            <w:vAlign w:val="bottom"/>
          </w:tcPr>
          <w:p w14:paraId="45706414" w14:textId="77777777" w:rsidR="00547393" w:rsidRPr="00485CC5" w:rsidRDefault="00CA7DEC" w:rsidP="00597F0A">
            <w:pPr>
              <w:jc w:val="center"/>
              <w:rPr>
                <w:sz w:val="18"/>
                <w:szCs w:val="18"/>
                <w:lang w:eastAsia="sl-SI"/>
              </w:rPr>
            </w:pPr>
            <w:r>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14:paraId="03BC25EA" w14:textId="77777777" w:rsidR="00547393" w:rsidRPr="00485CC5" w:rsidRDefault="00CA7DEC" w:rsidP="00597F0A">
            <w:pPr>
              <w:jc w:val="center"/>
              <w:rPr>
                <w:sz w:val="18"/>
                <w:szCs w:val="18"/>
                <w:lang w:eastAsia="sl-SI"/>
              </w:rPr>
            </w:pPr>
            <w:r>
              <w:rPr>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14:paraId="640742E5" w14:textId="77777777" w:rsidR="00547393" w:rsidRPr="00485CC5" w:rsidRDefault="00547393" w:rsidP="00597F0A">
            <w:pPr>
              <w:jc w:val="right"/>
              <w:rPr>
                <w:sz w:val="18"/>
                <w:szCs w:val="18"/>
                <w:lang w:eastAsia="sl-SI"/>
              </w:rPr>
            </w:pPr>
            <w:r w:rsidRPr="00485CC5">
              <w:rPr>
                <w:sz w:val="18"/>
                <w:szCs w:val="18"/>
                <w:lang w:eastAsia="sl-SI"/>
              </w:rPr>
              <w:t>1</w:t>
            </w:r>
          </w:p>
        </w:tc>
        <w:tc>
          <w:tcPr>
            <w:tcW w:w="875" w:type="dxa"/>
            <w:tcBorders>
              <w:top w:val="nil"/>
              <w:left w:val="nil"/>
              <w:bottom w:val="single" w:sz="4" w:space="0" w:color="auto"/>
              <w:right w:val="single" w:sz="4" w:space="0" w:color="auto"/>
            </w:tcBorders>
            <w:shd w:val="clear" w:color="auto" w:fill="auto"/>
            <w:noWrap/>
            <w:vAlign w:val="bottom"/>
          </w:tcPr>
          <w:p w14:paraId="059E3093" w14:textId="77777777" w:rsidR="00547393" w:rsidRPr="00485CC5" w:rsidRDefault="00547393" w:rsidP="00597F0A">
            <w:pPr>
              <w:jc w:val="right"/>
              <w:rPr>
                <w:sz w:val="18"/>
                <w:szCs w:val="18"/>
                <w:lang w:eastAsia="sl-SI"/>
              </w:rPr>
            </w:pPr>
            <w:r w:rsidRPr="00485CC5">
              <w:rPr>
                <w:sz w:val="18"/>
                <w:szCs w:val="18"/>
                <w:lang w:eastAsia="sl-SI"/>
              </w:rPr>
              <w:t>0</w:t>
            </w:r>
          </w:p>
        </w:tc>
      </w:tr>
      <w:tr w:rsidR="00547393" w:rsidRPr="00825E46" w14:paraId="180C2986" w14:textId="77777777" w:rsidTr="005752BD">
        <w:trPr>
          <w:trHeight w:val="33"/>
        </w:trPr>
        <w:tc>
          <w:tcPr>
            <w:tcW w:w="327" w:type="dxa"/>
            <w:vMerge w:val="restart"/>
            <w:tcBorders>
              <w:top w:val="nil"/>
              <w:left w:val="single" w:sz="4" w:space="0" w:color="auto"/>
              <w:right w:val="single" w:sz="4" w:space="0" w:color="auto"/>
            </w:tcBorders>
            <w:shd w:val="clear" w:color="auto" w:fill="auto"/>
            <w:noWrap/>
            <w:vAlign w:val="bottom"/>
          </w:tcPr>
          <w:p w14:paraId="1FAA3B52" w14:textId="77777777" w:rsidR="00547393" w:rsidRPr="00485CC5" w:rsidRDefault="00565661" w:rsidP="00597F0A">
            <w:pPr>
              <w:jc w:val="right"/>
              <w:rPr>
                <w:color w:val="000000"/>
                <w:sz w:val="18"/>
                <w:szCs w:val="18"/>
                <w:lang w:eastAsia="sl-SI"/>
              </w:rPr>
            </w:pPr>
            <w:r>
              <w:rPr>
                <w:color w:val="000000"/>
                <w:sz w:val="18"/>
                <w:szCs w:val="18"/>
                <w:lang w:eastAsia="sl-SI"/>
              </w:rPr>
              <w:t>3</w:t>
            </w:r>
          </w:p>
        </w:tc>
        <w:tc>
          <w:tcPr>
            <w:tcW w:w="1634" w:type="dxa"/>
            <w:vMerge w:val="restart"/>
            <w:tcBorders>
              <w:top w:val="nil"/>
              <w:left w:val="nil"/>
              <w:bottom w:val="single" w:sz="4" w:space="0" w:color="auto"/>
              <w:right w:val="single" w:sz="4" w:space="0" w:color="auto"/>
            </w:tcBorders>
            <w:shd w:val="clear" w:color="auto" w:fill="auto"/>
            <w:noWrap/>
            <w:vAlign w:val="center"/>
            <w:hideMark/>
          </w:tcPr>
          <w:p w14:paraId="60B273FB" w14:textId="77777777" w:rsidR="00547393" w:rsidRPr="00485CC5" w:rsidRDefault="00547393" w:rsidP="00597F0A">
            <w:pPr>
              <w:rPr>
                <w:color w:val="000000"/>
                <w:sz w:val="18"/>
                <w:szCs w:val="18"/>
                <w:lang w:eastAsia="sl-SI"/>
              </w:rPr>
            </w:pPr>
            <w:r w:rsidRPr="00485CC5">
              <w:rPr>
                <w:color w:val="000000"/>
                <w:sz w:val="18"/>
                <w:szCs w:val="18"/>
                <w:lang w:eastAsia="sl-SI"/>
              </w:rPr>
              <w:t>VODICE (Litija)</w:t>
            </w:r>
          </w:p>
        </w:tc>
        <w:tc>
          <w:tcPr>
            <w:tcW w:w="990" w:type="dxa"/>
            <w:vMerge w:val="restart"/>
            <w:tcBorders>
              <w:top w:val="nil"/>
              <w:left w:val="nil"/>
              <w:right w:val="single" w:sz="4" w:space="0" w:color="auto"/>
            </w:tcBorders>
            <w:shd w:val="clear" w:color="auto" w:fill="auto"/>
            <w:noWrap/>
            <w:vAlign w:val="center"/>
            <w:hideMark/>
          </w:tcPr>
          <w:p w14:paraId="3918510E" w14:textId="77777777" w:rsidR="00547393" w:rsidRPr="007774EB" w:rsidRDefault="007774EB" w:rsidP="00597F0A">
            <w:pPr>
              <w:jc w:val="right"/>
              <w:rPr>
                <w:sz w:val="18"/>
                <w:szCs w:val="18"/>
                <w:lang w:eastAsia="sl-SI"/>
              </w:rPr>
            </w:pPr>
            <w:r w:rsidRPr="007774EB">
              <w:rPr>
                <w:sz w:val="18"/>
                <w:szCs w:val="18"/>
                <w:lang w:eastAsia="sl-SI"/>
              </w:rPr>
              <w:t>9</w:t>
            </w:r>
          </w:p>
        </w:tc>
        <w:tc>
          <w:tcPr>
            <w:tcW w:w="1050" w:type="dxa"/>
            <w:vMerge w:val="restart"/>
            <w:tcBorders>
              <w:top w:val="nil"/>
              <w:left w:val="nil"/>
              <w:right w:val="single" w:sz="4" w:space="0" w:color="auto"/>
            </w:tcBorders>
            <w:shd w:val="clear" w:color="auto" w:fill="auto"/>
            <w:noWrap/>
            <w:vAlign w:val="center"/>
            <w:hideMark/>
          </w:tcPr>
          <w:p w14:paraId="74EA5D00" w14:textId="77777777" w:rsidR="00547393" w:rsidRPr="007774EB" w:rsidRDefault="00547393" w:rsidP="00597F0A">
            <w:pPr>
              <w:jc w:val="right"/>
              <w:rPr>
                <w:sz w:val="18"/>
                <w:szCs w:val="18"/>
                <w:lang w:eastAsia="sl-SI"/>
              </w:rPr>
            </w:pPr>
            <w:r w:rsidRPr="007774EB">
              <w:rPr>
                <w:sz w:val="18"/>
                <w:szCs w:val="18"/>
                <w:lang w:eastAsia="sl-SI"/>
              </w:rPr>
              <w:t>48</w:t>
            </w:r>
          </w:p>
        </w:tc>
        <w:tc>
          <w:tcPr>
            <w:tcW w:w="1060" w:type="dxa"/>
            <w:vMerge w:val="restart"/>
            <w:tcBorders>
              <w:top w:val="nil"/>
              <w:left w:val="nil"/>
              <w:right w:val="single" w:sz="4" w:space="0" w:color="auto"/>
            </w:tcBorders>
            <w:shd w:val="clear" w:color="auto" w:fill="auto"/>
            <w:noWrap/>
            <w:vAlign w:val="center"/>
            <w:hideMark/>
          </w:tcPr>
          <w:p w14:paraId="5DFEBDD0" w14:textId="77777777" w:rsidR="00547393" w:rsidRPr="00485CC5" w:rsidRDefault="00547393" w:rsidP="00597F0A">
            <w:pPr>
              <w:jc w:val="center"/>
              <w:rPr>
                <w:sz w:val="18"/>
                <w:szCs w:val="18"/>
                <w:lang w:eastAsia="sl-SI"/>
              </w:rPr>
            </w:pPr>
            <w:r w:rsidRPr="00485CC5">
              <w:rPr>
                <w:sz w:val="18"/>
                <w:szCs w:val="18"/>
                <w:lang w:eastAsia="sl-SI"/>
              </w:rPr>
              <w:t>ni doziranja</w:t>
            </w:r>
          </w:p>
        </w:tc>
        <w:tc>
          <w:tcPr>
            <w:tcW w:w="1080" w:type="dxa"/>
            <w:tcBorders>
              <w:top w:val="nil"/>
              <w:left w:val="nil"/>
              <w:bottom w:val="single" w:sz="4" w:space="0" w:color="auto"/>
              <w:right w:val="single" w:sz="4" w:space="0" w:color="auto"/>
            </w:tcBorders>
            <w:shd w:val="clear" w:color="auto" w:fill="auto"/>
            <w:noWrap/>
            <w:vAlign w:val="center"/>
          </w:tcPr>
          <w:p w14:paraId="10C4B54C" w14:textId="77777777" w:rsidR="00547393" w:rsidRPr="00485CC5" w:rsidRDefault="00547393" w:rsidP="00597F0A">
            <w:pPr>
              <w:rPr>
                <w:sz w:val="18"/>
                <w:szCs w:val="18"/>
                <w:lang w:eastAsia="sl-SI"/>
              </w:rPr>
            </w:pPr>
            <w:r w:rsidRPr="00485CC5">
              <w:rPr>
                <w:sz w:val="18"/>
                <w:szCs w:val="18"/>
                <w:lang w:eastAsia="sl-SI"/>
              </w:rPr>
              <w:t>Notranji</w:t>
            </w:r>
          </w:p>
        </w:tc>
        <w:tc>
          <w:tcPr>
            <w:tcW w:w="391" w:type="dxa"/>
            <w:tcBorders>
              <w:top w:val="single" w:sz="4" w:space="0" w:color="auto"/>
              <w:left w:val="nil"/>
              <w:bottom w:val="single" w:sz="4" w:space="0" w:color="auto"/>
              <w:right w:val="nil"/>
            </w:tcBorders>
            <w:vAlign w:val="center"/>
          </w:tcPr>
          <w:p w14:paraId="656BEB31" w14:textId="77777777" w:rsidR="00547393" w:rsidRPr="00485CC5" w:rsidRDefault="00547393" w:rsidP="00597F0A">
            <w:pPr>
              <w:jc w:val="right"/>
              <w:rPr>
                <w:sz w:val="18"/>
                <w:szCs w:val="18"/>
                <w:lang w:eastAsia="sl-SI"/>
              </w:rPr>
            </w:pPr>
            <w:r w:rsidRPr="00485CC5">
              <w:rPr>
                <w:sz w:val="18"/>
                <w:szCs w:val="18"/>
                <w:lang w:eastAsia="sl-SI"/>
              </w:rPr>
              <w:t>10</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82A94AF" w14:textId="77777777" w:rsidR="00547393" w:rsidRPr="00485CC5" w:rsidRDefault="00547393" w:rsidP="00597F0A">
            <w:pPr>
              <w:jc w:val="right"/>
              <w:rPr>
                <w:sz w:val="18"/>
                <w:szCs w:val="18"/>
                <w:lang w:eastAsia="sl-SI"/>
              </w:rPr>
            </w:pPr>
            <w:r w:rsidRPr="00485CC5">
              <w:rPr>
                <w:sz w:val="18"/>
                <w:szCs w:val="18"/>
                <w:lang w:eastAsia="sl-SI"/>
              </w:rPr>
              <w:t>2</w:t>
            </w:r>
          </w:p>
        </w:tc>
        <w:tc>
          <w:tcPr>
            <w:tcW w:w="983" w:type="dxa"/>
            <w:tcBorders>
              <w:top w:val="single" w:sz="4" w:space="0" w:color="auto"/>
              <w:left w:val="nil"/>
              <w:bottom w:val="single" w:sz="4" w:space="0" w:color="auto"/>
              <w:right w:val="single" w:sz="4" w:space="0" w:color="auto"/>
            </w:tcBorders>
            <w:shd w:val="clear" w:color="auto" w:fill="auto"/>
            <w:vAlign w:val="bottom"/>
          </w:tcPr>
          <w:p w14:paraId="1496EE45" w14:textId="77777777" w:rsidR="00547393" w:rsidRPr="00485CC5" w:rsidRDefault="00547393" w:rsidP="00597F0A">
            <w:pPr>
              <w:jc w:val="center"/>
              <w:rPr>
                <w:sz w:val="18"/>
                <w:szCs w:val="18"/>
                <w:lang w:eastAsia="sl-SI"/>
              </w:rPr>
            </w:pPr>
            <w:r w:rsidRPr="00485CC5">
              <w:rPr>
                <w:sz w:val="18"/>
                <w:szCs w:val="18"/>
                <w:lang w:eastAsia="sl-SI"/>
              </w:rPr>
              <w:t>E-coli in koliformne bakterije</w:t>
            </w:r>
          </w:p>
        </w:tc>
        <w:tc>
          <w:tcPr>
            <w:tcW w:w="1120" w:type="dxa"/>
            <w:vMerge w:val="restart"/>
            <w:tcBorders>
              <w:top w:val="single" w:sz="4" w:space="0" w:color="auto"/>
              <w:left w:val="nil"/>
              <w:right w:val="single" w:sz="4" w:space="0" w:color="auto"/>
            </w:tcBorders>
            <w:shd w:val="clear" w:color="auto" w:fill="auto"/>
            <w:vAlign w:val="bottom"/>
          </w:tcPr>
          <w:p w14:paraId="7D3F87BB" w14:textId="77777777" w:rsidR="00547393" w:rsidRPr="00485CC5" w:rsidRDefault="00547393" w:rsidP="00597F0A">
            <w:pPr>
              <w:jc w:val="center"/>
              <w:rPr>
                <w:sz w:val="18"/>
                <w:szCs w:val="18"/>
                <w:lang w:eastAsia="sl-SI"/>
              </w:rPr>
            </w:pPr>
            <w:r w:rsidRPr="00485CC5">
              <w:rPr>
                <w:sz w:val="18"/>
                <w:szCs w:val="18"/>
                <w:lang w:eastAsia="sl-SI"/>
              </w:rPr>
              <w:t>Prekuhavanje od 1.1.2019 do 31.12.2019</w:t>
            </w:r>
          </w:p>
        </w:tc>
        <w:tc>
          <w:tcPr>
            <w:tcW w:w="391" w:type="dxa"/>
            <w:tcBorders>
              <w:top w:val="nil"/>
              <w:left w:val="nil"/>
              <w:bottom w:val="single" w:sz="4" w:space="0" w:color="auto"/>
              <w:right w:val="single" w:sz="4" w:space="0" w:color="auto"/>
            </w:tcBorders>
            <w:shd w:val="clear" w:color="auto" w:fill="auto"/>
            <w:noWrap/>
            <w:vAlign w:val="bottom"/>
          </w:tcPr>
          <w:p w14:paraId="094719C2" w14:textId="77777777" w:rsidR="00547393" w:rsidRPr="00485CC5" w:rsidRDefault="00547393" w:rsidP="00597F0A">
            <w:pPr>
              <w:jc w:val="right"/>
              <w:rPr>
                <w:sz w:val="18"/>
                <w:szCs w:val="18"/>
                <w:lang w:eastAsia="sl-SI"/>
              </w:rPr>
            </w:pPr>
            <w:r w:rsidRPr="00485CC5">
              <w:rPr>
                <w:sz w:val="18"/>
                <w:szCs w:val="18"/>
                <w:lang w:eastAsia="sl-SI"/>
              </w:rPr>
              <w:t>0</w:t>
            </w:r>
          </w:p>
        </w:tc>
        <w:tc>
          <w:tcPr>
            <w:tcW w:w="875" w:type="dxa"/>
            <w:tcBorders>
              <w:top w:val="nil"/>
              <w:left w:val="nil"/>
              <w:bottom w:val="single" w:sz="4" w:space="0" w:color="auto"/>
              <w:right w:val="single" w:sz="4" w:space="0" w:color="auto"/>
            </w:tcBorders>
            <w:shd w:val="clear" w:color="auto" w:fill="auto"/>
            <w:noWrap/>
            <w:vAlign w:val="bottom"/>
          </w:tcPr>
          <w:p w14:paraId="07B3CEAB" w14:textId="77777777" w:rsidR="00547393" w:rsidRPr="00485CC5" w:rsidRDefault="00547393" w:rsidP="00597F0A">
            <w:pPr>
              <w:jc w:val="right"/>
              <w:rPr>
                <w:sz w:val="18"/>
                <w:szCs w:val="18"/>
                <w:lang w:eastAsia="sl-SI"/>
              </w:rPr>
            </w:pPr>
            <w:r w:rsidRPr="00485CC5">
              <w:rPr>
                <w:sz w:val="18"/>
                <w:szCs w:val="18"/>
                <w:lang w:eastAsia="sl-SI"/>
              </w:rPr>
              <w:t>0</w:t>
            </w:r>
          </w:p>
        </w:tc>
      </w:tr>
      <w:tr w:rsidR="00547393" w:rsidRPr="00825E46" w14:paraId="678C053A" w14:textId="77777777" w:rsidTr="005752BD">
        <w:trPr>
          <w:trHeight w:val="33"/>
        </w:trPr>
        <w:tc>
          <w:tcPr>
            <w:tcW w:w="327" w:type="dxa"/>
            <w:vMerge/>
            <w:tcBorders>
              <w:left w:val="single" w:sz="4" w:space="0" w:color="auto"/>
              <w:bottom w:val="single" w:sz="4" w:space="0" w:color="auto"/>
              <w:right w:val="single" w:sz="4" w:space="0" w:color="auto"/>
            </w:tcBorders>
            <w:shd w:val="clear" w:color="auto" w:fill="auto"/>
            <w:noWrap/>
            <w:vAlign w:val="bottom"/>
          </w:tcPr>
          <w:p w14:paraId="25A1C463" w14:textId="77777777" w:rsidR="00547393" w:rsidRPr="00485CC5" w:rsidRDefault="00547393" w:rsidP="00597F0A">
            <w:pPr>
              <w:jc w:val="right"/>
              <w:rPr>
                <w:color w:val="000000"/>
                <w:sz w:val="18"/>
                <w:szCs w:val="18"/>
                <w:lang w:eastAsia="sl-SI"/>
              </w:rPr>
            </w:pPr>
          </w:p>
        </w:tc>
        <w:tc>
          <w:tcPr>
            <w:tcW w:w="1634" w:type="dxa"/>
            <w:vMerge/>
            <w:tcBorders>
              <w:left w:val="nil"/>
              <w:bottom w:val="single" w:sz="4" w:space="0" w:color="auto"/>
              <w:right w:val="single" w:sz="4" w:space="0" w:color="auto"/>
            </w:tcBorders>
            <w:shd w:val="clear" w:color="auto" w:fill="auto"/>
            <w:noWrap/>
            <w:vAlign w:val="bottom"/>
          </w:tcPr>
          <w:p w14:paraId="49F7C11D" w14:textId="77777777" w:rsidR="00547393" w:rsidRPr="00485CC5" w:rsidRDefault="00547393" w:rsidP="00597F0A">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14:paraId="40B84363" w14:textId="77777777" w:rsidR="00547393" w:rsidRPr="00485CC5" w:rsidRDefault="00547393" w:rsidP="00597F0A">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14:paraId="77FDFC3C" w14:textId="77777777" w:rsidR="00547393" w:rsidRPr="00485CC5" w:rsidRDefault="00547393" w:rsidP="00597F0A">
            <w:pPr>
              <w:jc w:val="right"/>
              <w:rPr>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14:paraId="65C290BE" w14:textId="77777777" w:rsidR="00547393" w:rsidRPr="00485CC5" w:rsidRDefault="00547393" w:rsidP="00597F0A">
            <w:pPr>
              <w:rPr>
                <w:sz w:val="18"/>
                <w:szCs w:val="18"/>
                <w:lang w:eastAsia="sl-SI"/>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437A81B" w14:textId="77777777" w:rsidR="00547393" w:rsidRPr="00485CC5" w:rsidRDefault="00547393" w:rsidP="00597F0A">
            <w:pPr>
              <w:rPr>
                <w:sz w:val="18"/>
                <w:szCs w:val="18"/>
                <w:lang w:eastAsia="sl-SI"/>
              </w:rPr>
            </w:pPr>
            <w:r w:rsidRPr="00485CC5">
              <w:rPr>
                <w:sz w:val="18"/>
                <w:szCs w:val="18"/>
                <w:lang w:eastAsia="sl-SI"/>
              </w:rPr>
              <w:t>Monitoring</w:t>
            </w:r>
          </w:p>
        </w:tc>
        <w:tc>
          <w:tcPr>
            <w:tcW w:w="391" w:type="dxa"/>
            <w:tcBorders>
              <w:top w:val="single" w:sz="4" w:space="0" w:color="auto"/>
              <w:left w:val="nil"/>
              <w:bottom w:val="single" w:sz="4" w:space="0" w:color="auto"/>
              <w:right w:val="nil"/>
            </w:tcBorders>
            <w:vAlign w:val="center"/>
          </w:tcPr>
          <w:p w14:paraId="163900E8" w14:textId="77777777" w:rsidR="00547393" w:rsidRPr="00485CC5" w:rsidRDefault="00547393" w:rsidP="00597F0A">
            <w:pPr>
              <w:jc w:val="right"/>
              <w:rPr>
                <w:sz w:val="18"/>
                <w:szCs w:val="18"/>
                <w:lang w:eastAsia="sl-SI"/>
              </w:rPr>
            </w:pPr>
            <w:r w:rsidRPr="00485CC5">
              <w:rPr>
                <w:sz w:val="18"/>
                <w:szCs w:val="18"/>
                <w:lang w:eastAsia="sl-SI"/>
              </w:rPr>
              <w:t>2</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3E489BE" w14:textId="77777777" w:rsidR="00547393" w:rsidRPr="00485CC5" w:rsidRDefault="00547393" w:rsidP="00597F0A">
            <w:pPr>
              <w:jc w:val="right"/>
              <w:rPr>
                <w:sz w:val="18"/>
                <w:szCs w:val="18"/>
                <w:lang w:eastAsia="sl-SI"/>
              </w:rPr>
            </w:pPr>
            <w:r w:rsidRPr="00485CC5">
              <w:rPr>
                <w:sz w:val="18"/>
                <w:szCs w:val="18"/>
                <w:lang w:eastAsia="sl-SI"/>
              </w:rPr>
              <w:t>1</w:t>
            </w:r>
          </w:p>
        </w:tc>
        <w:tc>
          <w:tcPr>
            <w:tcW w:w="983" w:type="dxa"/>
            <w:tcBorders>
              <w:top w:val="single" w:sz="4" w:space="0" w:color="auto"/>
              <w:left w:val="nil"/>
              <w:bottom w:val="single" w:sz="4" w:space="0" w:color="auto"/>
              <w:right w:val="single" w:sz="4" w:space="0" w:color="auto"/>
            </w:tcBorders>
            <w:shd w:val="clear" w:color="auto" w:fill="auto"/>
            <w:vAlign w:val="bottom"/>
          </w:tcPr>
          <w:p w14:paraId="1185001D" w14:textId="77777777" w:rsidR="00547393" w:rsidRPr="00485CC5" w:rsidRDefault="00547393" w:rsidP="00597F0A">
            <w:pPr>
              <w:jc w:val="center"/>
              <w:rPr>
                <w:sz w:val="18"/>
                <w:szCs w:val="18"/>
                <w:lang w:eastAsia="sl-SI"/>
              </w:rPr>
            </w:pPr>
            <w:r w:rsidRPr="00485CC5">
              <w:rPr>
                <w:sz w:val="18"/>
                <w:szCs w:val="18"/>
                <w:lang w:eastAsia="sl-SI"/>
              </w:rPr>
              <w:t>Koliformne bakterije</w:t>
            </w:r>
          </w:p>
        </w:tc>
        <w:tc>
          <w:tcPr>
            <w:tcW w:w="1120" w:type="dxa"/>
            <w:vMerge/>
            <w:tcBorders>
              <w:left w:val="nil"/>
              <w:bottom w:val="single" w:sz="4" w:space="0" w:color="auto"/>
              <w:right w:val="single" w:sz="4" w:space="0" w:color="auto"/>
            </w:tcBorders>
            <w:shd w:val="clear" w:color="auto" w:fill="auto"/>
            <w:vAlign w:val="bottom"/>
          </w:tcPr>
          <w:p w14:paraId="366213F4" w14:textId="77777777" w:rsidR="00547393" w:rsidRPr="00485CC5" w:rsidRDefault="00547393" w:rsidP="00597F0A">
            <w:pPr>
              <w:jc w:val="center"/>
              <w:rPr>
                <w:sz w:val="18"/>
                <w:szCs w:val="18"/>
                <w:lang w:eastAsia="sl-SI"/>
              </w:rPr>
            </w:pPr>
          </w:p>
        </w:tc>
        <w:tc>
          <w:tcPr>
            <w:tcW w:w="391" w:type="dxa"/>
            <w:tcBorders>
              <w:top w:val="nil"/>
              <w:left w:val="nil"/>
              <w:bottom w:val="single" w:sz="4" w:space="0" w:color="auto"/>
              <w:right w:val="single" w:sz="4" w:space="0" w:color="auto"/>
            </w:tcBorders>
            <w:shd w:val="clear" w:color="auto" w:fill="auto"/>
            <w:noWrap/>
            <w:vAlign w:val="bottom"/>
          </w:tcPr>
          <w:p w14:paraId="6BA4530D" w14:textId="77777777" w:rsidR="00547393" w:rsidRPr="00485CC5" w:rsidRDefault="00547393" w:rsidP="00597F0A">
            <w:pPr>
              <w:jc w:val="right"/>
              <w:rPr>
                <w:sz w:val="18"/>
                <w:szCs w:val="18"/>
                <w:lang w:eastAsia="sl-SI"/>
              </w:rPr>
            </w:pPr>
            <w:r w:rsidRPr="00485CC5">
              <w:rPr>
                <w:sz w:val="18"/>
                <w:szCs w:val="18"/>
                <w:lang w:eastAsia="sl-SI"/>
              </w:rPr>
              <w:t>0</w:t>
            </w:r>
          </w:p>
        </w:tc>
        <w:tc>
          <w:tcPr>
            <w:tcW w:w="875" w:type="dxa"/>
            <w:tcBorders>
              <w:top w:val="nil"/>
              <w:left w:val="nil"/>
              <w:bottom w:val="single" w:sz="4" w:space="0" w:color="auto"/>
              <w:right w:val="single" w:sz="4" w:space="0" w:color="auto"/>
            </w:tcBorders>
            <w:shd w:val="clear" w:color="auto" w:fill="auto"/>
            <w:noWrap/>
            <w:vAlign w:val="bottom"/>
          </w:tcPr>
          <w:p w14:paraId="1A130AA4" w14:textId="77777777" w:rsidR="00547393" w:rsidRPr="00485CC5" w:rsidRDefault="00547393" w:rsidP="00597F0A">
            <w:pPr>
              <w:jc w:val="right"/>
              <w:rPr>
                <w:sz w:val="18"/>
                <w:szCs w:val="18"/>
                <w:lang w:eastAsia="sl-SI"/>
              </w:rPr>
            </w:pPr>
            <w:r w:rsidRPr="00485CC5">
              <w:rPr>
                <w:sz w:val="18"/>
                <w:szCs w:val="18"/>
                <w:lang w:eastAsia="sl-SI"/>
              </w:rPr>
              <w:t>0</w:t>
            </w:r>
          </w:p>
        </w:tc>
      </w:tr>
    </w:tbl>
    <w:p w14:paraId="01B15F23" w14:textId="77777777" w:rsidR="006E35A4" w:rsidRPr="005E3057" w:rsidRDefault="006E35A4" w:rsidP="006E35A4">
      <w:pPr>
        <w:rPr>
          <w:sz w:val="24"/>
          <w:szCs w:val="24"/>
        </w:rPr>
      </w:pPr>
    </w:p>
    <w:p w14:paraId="0C9B65C2" w14:textId="77777777" w:rsidR="00FF4E3D" w:rsidRPr="00236CB9" w:rsidRDefault="00F67DDA" w:rsidP="00FF4E3D">
      <w:pPr>
        <w:rPr>
          <w:sz w:val="18"/>
          <w:szCs w:val="18"/>
        </w:rPr>
      </w:pPr>
      <w:r w:rsidRPr="00F67DDA">
        <w:rPr>
          <w:sz w:val="18"/>
          <w:szCs w:val="18"/>
        </w:rPr>
        <w:t xml:space="preserve">Legenda: </w:t>
      </w:r>
      <w:proofErr w:type="spellStart"/>
      <w:r w:rsidRPr="00F67DDA">
        <w:rPr>
          <w:sz w:val="18"/>
          <w:szCs w:val="18"/>
        </w:rPr>
        <w:t>NaOCl</w:t>
      </w:r>
      <w:proofErr w:type="spellEnd"/>
      <w:r w:rsidRPr="00F67DDA">
        <w:rPr>
          <w:sz w:val="18"/>
          <w:szCs w:val="18"/>
        </w:rPr>
        <w:t xml:space="preserve"> – natrijev hipoklorit</w:t>
      </w:r>
    </w:p>
    <w:p w14:paraId="409B851E" w14:textId="77777777" w:rsidR="00E35C33" w:rsidRDefault="00E35C33" w:rsidP="0097581A">
      <w:pPr>
        <w:jc w:val="both"/>
        <w:rPr>
          <w:sz w:val="24"/>
          <w:szCs w:val="24"/>
        </w:rPr>
      </w:pPr>
    </w:p>
    <w:p w14:paraId="294E9EDD" w14:textId="77777777" w:rsidR="00E35C33" w:rsidRDefault="00E35C33" w:rsidP="00E35C33">
      <w:pPr>
        <w:jc w:val="both"/>
        <w:rPr>
          <w:sz w:val="24"/>
          <w:szCs w:val="24"/>
        </w:rPr>
      </w:pPr>
      <w:r>
        <w:rPr>
          <w:sz w:val="24"/>
          <w:szCs w:val="24"/>
        </w:rPr>
        <w:t>U</w:t>
      </w:r>
      <w:r w:rsidRPr="00F45273">
        <w:rPr>
          <w:sz w:val="24"/>
          <w:szCs w:val="24"/>
        </w:rPr>
        <w:t>krep prekuhavanja</w:t>
      </w:r>
      <w:r>
        <w:rPr>
          <w:sz w:val="24"/>
          <w:szCs w:val="24"/>
        </w:rPr>
        <w:t xml:space="preserve"> pitne vode, pred uporabo za prehranske namene je bil uveden in še velja za javni sistem oskrbe s pitno vodo Vodice, zaradi vsebnost bakterij fekalnega izvora (E-Coli in Enterokoki) v manjšem številu (pod 4 CFU/100 ml). Upravljavec je izvedel  ukrepe za odpravo prepoznanih vzrokov neskladja, žal pa ukrepa še ne smemo preklicati</w:t>
      </w:r>
      <w:r w:rsidR="00E0244C">
        <w:rPr>
          <w:sz w:val="24"/>
          <w:szCs w:val="24"/>
        </w:rPr>
        <w:t>,</w:t>
      </w:r>
      <w:r>
        <w:rPr>
          <w:sz w:val="24"/>
          <w:szCs w:val="24"/>
        </w:rPr>
        <w:t xml:space="preserve"> zaradi vsebnosti koliformnih bakterij, ki jih odvzeti vzorci vode v kontrolnem vzorčenju ne smejo vsebovati. Koliformne bakterije se uvrščajo med indikativne parametre zaradi katerih se ne uvaja ukrep prekuhavanja. Če pa so prisotne v vzorcih vode, ki se odvzemajo po izvedenih ukrepih za odpravo vzrokov neskladja, oziroma vzrokov za uvedbo prekuhavanja, pa se ukrep  še ne sme preklicati.</w:t>
      </w:r>
    </w:p>
    <w:p w14:paraId="48316012" w14:textId="77777777" w:rsidR="0066200F" w:rsidRPr="00BF26A9" w:rsidRDefault="0066200F" w:rsidP="008A1AFB">
      <w:pPr>
        <w:rPr>
          <w:sz w:val="24"/>
          <w:szCs w:val="24"/>
        </w:rPr>
      </w:pPr>
    </w:p>
    <w:p w14:paraId="293F7FF0" w14:textId="77777777" w:rsidR="0085257E" w:rsidRPr="0007563A" w:rsidRDefault="0085257E" w:rsidP="0085257E">
      <w:pPr>
        <w:rPr>
          <w:sz w:val="24"/>
          <w:szCs w:val="24"/>
        </w:rPr>
      </w:pPr>
      <w:r>
        <w:rPr>
          <w:sz w:val="24"/>
          <w:szCs w:val="24"/>
        </w:rPr>
        <w:t>Pripravila:</w:t>
      </w:r>
    </w:p>
    <w:p w14:paraId="041BD529" w14:textId="77777777" w:rsidR="0085257E" w:rsidRPr="0080673A" w:rsidRDefault="0085257E" w:rsidP="0085257E">
      <w:pPr>
        <w:pStyle w:val="Brezrazmikov"/>
        <w:rPr>
          <w:szCs w:val="24"/>
        </w:rPr>
      </w:pPr>
      <w:r w:rsidRPr="00653F0E">
        <w:rPr>
          <w:szCs w:val="24"/>
        </w:rPr>
        <w:t>Marta Peršin, univ.dipl.kem.</w:t>
      </w:r>
      <w:r w:rsidRPr="0007563A">
        <w:rPr>
          <w:b/>
          <w:szCs w:val="24"/>
        </w:rPr>
        <w:t xml:space="preserve">           </w:t>
      </w:r>
      <w:r>
        <w:rPr>
          <w:b/>
          <w:szCs w:val="24"/>
        </w:rPr>
        <w:tab/>
      </w:r>
      <w:r>
        <w:rPr>
          <w:b/>
          <w:szCs w:val="24"/>
        </w:rPr>
        <w:tab/>
      </w:r>
      <w:r>
        <w:rPr>
          <w:b/>
          <w:szCs w:val="24"/>
        </w:rPr>
        <w:tab/>
        <w:t xml:space="preserve">                                </w:t>
      </w:r>
      <w:r w:rsidRPr="0080673A">
        <w:rPr>
          <w:szCs w:val="24"/>
        </w:rPr>
        <w:t>KSP Litija d.o.o.</w:t>
      </w:r>
    </w:p>
    <w:p w14:paraId="3ACD377F" w14:textId="77777777" w:rsidR="0085257E" w:rsidRDefault="0085257E" w:rsidP="0085257E">
      <w:pPr>
        <w:pStyle w:val="Brezrazmikov"/>
        <w:rPr>
          <w:szCs w:val="24"/>
        </w:rPr>
      </w:pPr>
      <w:r w:rsidRPr="0080673A">
        <w:rPr>
          <w:szCs w:val="24"/>
        </w:rPr>
        <w:t xml:space="preserve">                                                                                                   Direktor: Roman Ciglar, dipl.ing.str.</w:t>
      </w:r>
    </w:p>
    <w:p w14:paraId="6DD6E66A" w14:textId="77777777" w:rsidR="0085257E" w:rsidRDefault="0085257E" w:rsidP="0085257E">
      <w:pPr>
        <w:pStyle w:val="Brezrazmikov"/>
        <w:rPr>
          <w:szCs w:val="24"/>
        </w:rPr>
      </w:pPr>
    </w:p>
    <w:p w14:paraId="68526432" w14:textId="77777777" w:rsidR="008A1AFB" w:rsidRDefault="008A1AFB" w:rsidP="008A1AFB">
      <w:pPr>
        <w:pStyle w:val="Telobesedila21"/>
      </w:pPr>
    </w:p>
    <w:p w14:paraId="3BDABD63" w14:textId="77777777" w:rsidR="00513776" w:rsidRDefault="00513776"/>
    <w:sectPr w:rsidR="00513776" w:rsidSect="00403601">
      <w:footerReference w:type="default" r:id="rId8"/>
      <w:headerReference w:type="first" r:id="rId9"/>
      <w:pgSz w:w="11906" w:h="16838"/>
      <w:pgMar w:top="720" w:right="720" w:bottom="720"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2A5B4" w14:textId="77777777" w:rsidR="00B435C0" w:rsidRDefault="00B435C0" w:rsidP="006E35A4">
      <w:r>
        <w:separator/>
      </w:r>
    </w:p>
  </w:endnote>
  <w:endnote w:type="continuationSeparator" w:id="0">
    <w:p w14:paraId="40EE323F" w14:textId="77777777" w:rsidR="00B435C0" w:rsidRDefault="00B435C0" w:rsidP="006E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177342"/>
      <w:docPartObj>
        <w:docPartGallery w:val="Page Numbers (Bottom of Page)"/>
        <w:docPartUnique/>
      </w:docPartObj>
    </w:sdtPr>
    <w:sdtEndPr/>
    <w:sdtContent>
      <w:p w14:paraId="5B013788" w14:textId="77777777" w:rsidR="0072083B" w:rsidRDefault="0072083B">
        <w:pPr>
          <w:pStyle w:val="Noga"/>
          <w:jc w:val="center"/>
        </w:pPr>
        <w:r>
          <w:fldChar w:fldCharType="begin"/>
        </w:r>
        <w:r>
          <w:instrText>PAGE   \* MERGEFORMAT</w:instrText>
        </w:r>
        <w:r>
          <w:fldChar w:fldCharType="separate"/>
        </w:r>
        <w:r>
          <w:t>2</w:t>
        </w:r>
        <w:r>
          <w:fldChar w:fldCharType="end"/>
        </w:r>
      </w:p>
    </w:sdtContent>
  </w:sdt>
  <w:p w14:paraId="58BC538B" w14:textId="77777777" w:rsidR="0072083B" w:rsidRDefault="0072083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B4437" w14:textId="77777777" w:rsidR="00B435C0" w:rsidRDefault="00B435C0" w:rsidP="006E35A4">
      <w:r>
        <w:separator/>
      </w:r>
    </w:p>
  </w:footnote>
  <w:footnote w:type="continuationSeparator" w:id="0">
    <w:p w14:paraId="55074821" w14:textId="77777777" w:rsidR="00B435C0" w:rsidRDefault="00B435C0" w:rsidP="006E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6297" w14:textId="77777777" w:rsidR="00E35C33" w:rsidRDefault="00E35C33">
    <w:pPr>
      <w:pStyle w:val="Glava"/>
    </w:pPr>
    <w:r>
      <w:rPr>
        <w:noProof/>
        <w:lang w:eastAsia="sl-SI"/>
      </w:rPr>
      <w:drawing>
        <wp:inline distT="0" distB="0" distL="0" distR="0" wp14:anchorId="2D72A1C0" wp14:editId="21B400CB">
          <wp:extent cx="6645910" cy="1172210"/>
          <wp:effectExtent l="0" t="0" r="254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2585" r="7175"/>
                  <a:stretch>
                    <a:fillRect/>
                  </a:stretch>
                </pic:blipFill>
                <pic:spPr bwMode="auto">
                  <a:xfrm>
                    <a:off x="0" y="0"/>
                    <a:ext cx="6645910" cy="117221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B1"/>
    <w:rsid w:val="0001200C"/>
    <w:rsid w:val="00015C2A"/>
    <w:rsid w:val="00027D3E"/>
    <w:rsid w:val="00054C82"/>
    <w:rsid w:val="000560AC"/>
    <w:rsid w:val="000754D9"/>
    <w:rsid w:val="00082EC6"/>
    <w:rsid w:val="000A0FC4"/>
    <w:rsid w:val="000B71F2"/>
    <w:rsid w:val="000C513C"/>
    <w:rsid w:val="000E2CCA"/>
    <w:rsid w:val="000F751B"/>
    <w:rsid w:val="00116910"/>
    <w:rsid w:val="00122FEA"/>
    <w:rsid w:val="00135E95"/>
    <w:rsid w:val="001422CB"/>
    <w:rsid w:val="00154A8F"/>
    <w:rsid w:val="00155C5C"/>
    <w:rsid w:val="0016087D"/>
    <w:rsid w:val="001857D0"/>
    <w:rsid w:val="00186ECB"/>
    <w:rsid w:val="001C1005"/>
    <w:rsid w:val="001C49F2"/>
    <w:rsid w:val="00236CB9"/>
    <w:rsid w:val="00271C84"/>
    <w:rsid w:val="00275985"/>
    <w:rsid w:val="002809E9"/>
    <w:rsid w:val="0028522F"/>
    <w:rsid w:val="002B02BD"/>
    <w:rsid w:val="002D2E97"/>
    <w:rsid w:val="00313409"/>
    <w:rsid w:val="00324204"/>
    <w:rsid w:val="003452CC"/>
    <w:rsid w:val="00354564"/>
    <w:rsid w:val="003670FE"/>
    <w:rsid w:val="00386222"/>
    <w:rsid w:val="003A1A46"/>
    <w:rsid w:val="003D3447"/>
    <w:rsid w:val="003D3F18"/>
    <w:rsid w:val="003F158E"/>
    <w:rsid w:val="003F1E66"/>
    <w:rsid w:val="004035BE"/>
    <w:rsid w:val="00403601"/>
    <w:rsid w:val="00431AB5"/>
    <w:rsid w:val="004329B6"/>
    <w:rsid w:val="00443A9D"/>
    <w:rsid w:val="0044411E"/>
    <w:rsid w:val="00480C14"/>
    <w:rsid w:val="00496138"/>
    <w:rsid w:val="004B1C34"/>
    <w:rsid w:val="004B4553"/>
    <w:rsid w:val="004D6B5B"/>
    <w:rsid w:val="004E46ED"/>
    <w:rsid w:val="00503AE9"/>
    <w:rsid w:val="00503E31"/>
    <w:rsid w:val="00513776"/>
    <w:rsid w:val="005438C0"/>
    <w:rsid w:val="00547393"/>
    <w:rsid w:val="00555480"/>
    <w:rsid w:val="00565661"/>
    <w:rsid w:val="00573B30"/>
    <w:rsid w:val="005752BD"/>
    <w:rsid w:val="00597F0A"/>
    <w:rsid w:val="005B111B"/>
    <w:rsid w:val="005D4ADB"/>
    <w:rsid w:val="005E3057"/>
    <w:rsid w:val="00616762"/>
    <w:rsid w:val="00625393"/>
    <w:rsid w:val="0063438C"/>
    <w:rsid w:val="006476BC"/>
    <w:rsid w:val="006615E9"/>
    <w:rsid w:val="0066200F"/>
    <w:rsid w:val="00667BC2"/>
    <w:rsid w:val="006C51B9"/>
    <w:rsid w:val="006D07A0"/>
    <w:rsid w:val="006D72CF"/>
    <w:rsid w:val="006E35A4"/>
    <w:rsid w:val="0070014D"/>
    <w:rsid w:val="007043C6"/>
    <w:rsid w:val="0072083B"/>
    <w:rsid w:val="00723257"/>
    <w:rsid w:val="00726284"/>
    <w:rsid w:val="00731272"/>
    <w:rsid w:val="00732B04"/>
    <w:rsid w:val="00735AC5"/>
    <w:rsid w:val="00772209"/>
    <w:rsid w:val="007774EB"/>
    <w:rsid w:val="0077767C"/>
    <w:rsid w:val="007C6385"/>
    <w:rsid w:val="007E5468"/>
    <w:rsid w:val="007E79CF"/>
    <w:rsid w:val="00804DEC"/>
    <w:rsid w:val="00805588"/>
    <w:rsid w:val="008125B2"/>
    <w:rsid w:val="00846D52"/>
    <w:rsid w:val="00846E56"/>
    <w:rsid w:val="0085257E"/>
    <w:rsid w:val="00855808"/>
    <w:rsid w:val="008616FB"/>
    <w:rsid w:val="00862961"/>
    <w:rsid w:val="008A1AFB"/>
    <w:rsid w:val="008A5351"/>
    <w:rsid w:val="008C26D1"/>
    <w:rsid w:val="008C6B59"/>
    <w:rsid w:val="008D4F77"/>
    <w:rsid w:val="008E6869"/>
    <w:rsid w:val="0090008C"/>
    <w:rsid w:val="00903DD0"/>
    <w:rsid w:val="00904FE0"/>
    <w:rsid w:val="009127BB"/>
    <w:rsid w:val="00915C32"/>
    <w:rsid w:val="00916BBE"/>
    <w:rsid w:val="009348B3"/>
    <w:rsid w:val="0097581A"/>
    <w:rsid w:val="009A4A19"/>
    <w:rsid w:val="009A7740"/>
    <w:rsid w:val="009B15BC"/>
    <w:rsid w:val="009B3969"/>
    <w:rsid w:val="009C0AEB"/>
    <w:rsid w:val="009F068D"/>
    <w:rsid w:val="009F6A7B"/>
    <w:rsid w:val="00A12BA1"/>
    <w:rsid w:val="00A41619"/>
    <w:rsid w:val="00A47B60"/>
    <w:rsid w:val="00AB2116"/>
    <w:rsid w:val="00AC6996"/>
    <w:rsid w:val="00B03EC5"/>
    <w:rsid w:val="00B233BE"/>
    <w:rsid w:val="00B303FA"/>
    <w:rsid w:val="00B435C0"/>
    <w:rsid w:val="00B44100"/>
    <w:rsid w:val="00B738E4"/>
    <w:rsid w:val="00B91C7F"/>
    <w:rsid w:val="00BA3673"/>
    <w:rsid w:val="00BE3D1E"/>
    <w:rsid w:val="00BE5E2D"/>
    <w:rsid w:val="00BF26A9"/>
    <w:rsid w:val="00C16801"/>
    <w:rsid w:val="00C234C6"/>
    <w:rsid w:val="00C300A1"/>
    <w:rsid w:val="00C47FC4"/>
    <w:rsid w:val="00C5244F"/>
    <w:rsid w:val="00C83B75"/>
    <w:rsid w:val="00C84B07"/>
    <w:rsid w:val="00C94B94"/>
    <w:rsid w:val="00C9684D"/>
    <w:rsid w:val="00CA7DEC"/>
    <w:rsid w:val="00CC00F7"/>
    <w:rsid w:val="00CC46AD"/>
    <w:rsid w:val="00CD0188"/>
    <w:rsid w:val="00CD66CE"/>
    <w:rsid w:val="00CE7E31"/>
    <w:rsid w:val="00D0340E"/>
    <w:rsid w:val="00D12C63"/>
    <w:rsid w:val="00D170CC"/>
    <w:rsid w:val="00D40B63"/>
    <w:rsid w:val="00D565C2"/>
    <w:rsid w:val="00D7371E"/>
    <w:rsid w:val="00D82E76"/>
    <w:rsid w:val="00DA4BB1"/>
    <w:rsid w:val="00DA58C3"/>
    <w:rsid w:val="00DE5343"/>
    <w:rsid w:val="00DE6EAC"/>
    <w:rsid w:val="00E000B5"/>
    <w:rsid w:val="00E0244C"/>
    <w:rsid w:val="00E05C86"/>
    <w:rsid w:val="00E07499"/>
    <w:rsid w:val="00E306FE"/>
    <w:rsid w:val="00E35C33"/>
    <w:rsid w:val="00E42E62"/>
    <w:rsid w:val="00E728C3"/>
    <w:rsid w:val="00E8168B"/>
    <w:rsid w:val="00E853D9"/>
    <w:rsid w:val="00ED7660"/>
    <w:rsid w:val="00EF2142"/>
    <w:rsid w:val="00F27403"/>
    <w:rsid w:val="00F35631"/>
    <w:rsid w:val="00F35634"/>
    <w:rsid w:val="00F36063"/>
    <w:rsid w:val="00F45273"/>
    <w:rsid w:val="00F67DDA"/>
    <w:rsid w:val="00F72401"/>
    <w:rsid w:val="00F73621"/>
    <w:rsid w:val="00F740A2"/>
    <w:rsid w:val="00F800C7"/>
    <w:rsid w:val="00F80149"/>
    <w:rsid w:val="00F854EE"/>
    <w:rsid w:val="00F93315"/>
    <w:rsid w:val="00FA1086"/>
    <w:rsid w:val="00FD1296"/>
    <w:rsid w:val="00FF4E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04FF"/>
  <w15:chartTrackingRefBased/>
  <w15:docId w15:val="{5A1FC453-B1EE-425E-B315-8C8D7F4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62961"/>
  </w:style>
  <w:style w:type="paragraph" w:styleId="Naslov1">
    <w:name w:val="heading 1"/>
    <w:basedOn w:val="Navaden"/>
    <w:next w:val="Navaden"/>
    <w:link w:val="Naslov1Znak"/>
    <w:qFormat/>
    <w:rsid w:val="00862961"/>
    <w:pPr>
      <w:keepNext/>
      <w:outlineLvl w:val="0"/>
    </w:pPr>
    <w:rPr>
      <w:b/>
      <w:bCs/>
    </w:rPr>
  </w:style>
  <w:style w:type="paragraph" w:styleId="Naslov2">
    <w:name w:val="heading 2"/>
    <w:basedOn w:val="Navaden"/>
    <w:next w:val="Navaden"/>
    <w:link w:val="Naslov2Znak"/>
    <w:qFormat/>
    <w:rsid w:val="00862961"/>
    <w:pPr>
      <w:keepNext/>
      <w:outlineLvl w:val="1"/>
    </w:pPr>
    <w:rPr>
      <w:i/>
      <w:iCs/>
      <w:color w:val="0000FF"/>
    </w:rPr>
  </w:style>
  <w:style w:type="paragraph" w:styleId="Naslov3">
    <w:name w:val="heading 3"/>
    <w:basedOn w:val="Navaden"/>
    <w:next w:val="Navaden"/>
    <w:link w:val="Naslov3Znak"/>
    <w:semiHidden/>
    <w:unhideWhenUsed/>
    <w:qFormat/>
    <w:rsid w:val="008A1AFB"/>
    <w:pPr>
      <w:keepNext/>
      <w:tabs>
        <w:tab w:val="num" w:pos="0"/>
        <w:tab w:val="left" w:pos="1120"/>
      </w:tabs>
      <w:suppressAutoHyphens/>
      <w:ind w:left="720" w:hanging="720"/>
      <w:jc w:val="center"/>
      <w:outlineLvl w:val="2"/>
    </w:pPr>
    <w:rPr>
      <w:rFonts w:eastAsia="Arial Unicode MS"/>
      <w:bCs/>
      <w:sz w:val="48"/>
      <w:lang w:eastAsia="zh-CN"/>
    </w:rPr>
  </w:style>
  <w:style w:type="paragraph" w:styleId="Naslov4">
    <w:name w:val="heading 4"/>
    <w:basedOn w:val="Navaden"/>
    <w:next w:val="Navaden"/>
    <w:link w:val="Naslov4Znak"/>
    <w:semiHidden/>
    <w:unhideWhenUsed/>
    <w:qFormat/>
    <w:rsid w:val="008A1AFB"/>
    <w:pPr>
      <w:keepNext/>
      <w:tabs>
        <w:tab w:val="num" w:pos="0"/>
      </w:tabs>
      <w:suppressAutoHyphens/>
      <w:ind w:left="864" w:hanging="864"/>
      <w:jc w:val="center"/>
      <w:outlineLvl w:val="3"/>
    </w:pPr>
    <w:rPr>
      <w:rFonts w:eastAsia="Arial Unicode MS" w:cs="Arial"/>
      <w:b/>
      <w:lang w:eastAsia="zh-CN"/>
    </w:rPr>
  </w:style>
  <w:style w:type="paragraph" w:styleId="Naslov5">
    <w:name w:val="heading 5"/>
    <w:basedOn w:val="Navaden"/>
    <w:next w:val="Navaden"/>
    <w:link w:val="Naslov5Znak"/>
    <w:semiHidden/>
    <w:unhideWhenUsed/>
    <w:qFormat/>
    <w:rsid w:val="008A1AFB"/>
    <w:pPr>
      <w:keepNext/>
      <w:tabs>
        <w:tab w:val="num" w:pos="0"/>
        <w:tab w:val="left" w:pos="1120"/>
      </w:tabs>
      <w:suppressAutoHyphens/>
      <w:ind w:left="1008" w:hanging="1008"/>
      <w:jc w:val="both"/>
      <w:outlineLvl w:val="4"/>
    </w:pPr>
    <w:rPr>
      <w:rFonts w:eastAsia="Arial Unicode MS"/>
      <w:b/>
      <w:sz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62961"/>
    <w:rPr>
      <w:b/>
      <w:bCs/>
    </w:rPr>
  </w:style>
  <w:style w:type="character" w:customStyle="1" w:styleId="Naslov2Znak">
    <w:name w:val="Naslov 2 Znak"/>
    <w:basedOn w:val="Privzetapisavaodstavka"/>
    <w:link w:val="Naslov2"/>
    <w:rsid w:val="00862961"/>
    <w:rPr>
      <w:i/>
      <w:iCs/>
      <w:color w:val="0000FF"/>
    </w:rPr>
  </w:style>
  <w:style w:type="paragraph" w:styleId="Napis">
    <w:name w:val="caption"/>
    <w:basedOn w:val="Navaden"/>
    <w:next w:val="Navaden"/>
    <w:qFormat/>
    <w:rsid w:val="00862961"/>
    <w:pPr>
      <w:spacing w:before="120" w:after="120"/>
    </w:pPr>
    <w:rPr>
      <w:b/>
      <w:bCs/>
    </w:rPr>
  </w:style>
  <w:style w:type="paragraph" w:styleId="Besedilooblaka">
    <w:name w:val="Balloon Text"/>
    <w:basedOn w:val="Navaden"/>
    <w:link w:val="BesedilooblakaZnak"/>
    <w:uiPriority w:val="99"/>
    <w:semiHidden/>
    <w:unhideWhenUsed/>
    <w:rsid w:val="00E000B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00B5"/>
    <w:rPr>
      <w:rFonts w:ascii="Segoe UI" w:hAnsi="Segoe UI" w:cs="Segoe UI"/>
      <w:sz w:val="18"/>
      <w:szCs w:val="18"/>
    </w:rPr>
  </w:style>
  <w:style w:type="character" w:customStyle="1" w:styleId="Naslov3Znak">
    <w:name w:val="Naslov 3 Znak"/>
    <w:basedOn w:val="Privzetapisavaodstavka"/>
    <w:link w:val="Naslov3"/>
    <w:semiHidden/>
    <w:rsid w:val="008A1AFB"/>
    <w:rPr>
      <w:rFonts w:eastAsia="Arial Unicode MS"/>
      <w:bCs/>
      <w:sz w:val="48"/>
      <w:lang w:eastAsia="zh-CN"/>
    </w:rPr>
  </w:style>
  <w:style w:type="character" w:customStyle="1" w:styleId="Naslov4Znak">
    <w:name w:val="Naslov 4 Znak"/>
    <w:basedOn w:val="Privzetapisavaodstavka"/>
    <w:link w:val="Naslov4"/>
    <w:semiHidden/>
    <w:rsid w:val="008A1AFB"/>
    <w:rPr>
      <w:rFonts w:eastAsia="Arial Unicode MS" w:cs="Arial"/>
      <w:b/>
      <w:lang w:eastAsia="zh-CN"/>
    </w:rPr>
  </w:style>
  <w:style w:type="character" w:customStyle="1" w:styleId="Naslov5Znak">
    <w:name w:val="Naslov 5 Znak"/>
    <w:basedOn w:val="Privzetapisavaodstavka"/>
    <w:link w:val="Naslov5"/>
    <w:semiHidden/>
    <w:rsid w:val="008A1AFB"/>
    <w:rPr>
      <w:rFonts w:eastAsia="Arial Unicode MS"/>
      <w:b/>
      <w:sz w:val="24"/>
      <w:lang w:eastAsia="zh-CN"/>
    </w:rPr>
  </w:style>
  <w:style w:type="character" w:styleId="Hiperpovezava">
    <w:name w:val="Hyperlink"/>
    <w:basedOn w:val="Privzetapisavaodstavka"/>
    <w:uiPriority w:val="99"/>
    <w:semiHidden/>
    <w:unhideWhenUsed/>
    <w:rsid w:val="008A1AFB"/>
    <w:rPr>
      <w:color w:val="0000FF" w:themeColor="hyperlink"/>
      <w:u w:val="single"/>
    </w:rPr>
  </w:style>
  <w:style w:type="paragraph" w:styleId="Brezrazmikov">
    <w:name w:val="No Spacing"/>
    <w:qFormat/>
    <w:rsid w:val="008A1AFB"/>
    <w:pPr>
      <w:suppressAutoHyphens/>
    </w:pPr>
    <w:rPr>
      <w:sz w:val="24"/>
      <w:lang w:eastAsia="zh-CN"/>
    </w:rPr>
  </w:style>
  <w:style w:type="paragraph" w:customStyle="1" w:styleId="Telobesedila21">
    <w:name w:val="Telo besedila 21"/>
    <w:basedOn w:val="Navaden"/>
    <w:rsid w:val="008A1AFB"/>
    <w:pPr>
      <w:suppressAutoHyphens/>
      <w:jc w:val="both"/>
    </w:pPr>
    <w:rPr>
      <w:sz w:val="24"/>
      <w:lang w:eastAsia="zh-CN"/>
    </w:rPr>
  </w:style>
  <w:style w:type="paragraph" w:styleId="Glava">
    <w:name w:val="header"/>
    <w:basedOn w:val="Navaden"/>
    <w:link w:val="GlavaZnak"/>
    <w:uiPriority w:val="99"/>
    <w:unhideWhenUsed/>
    <w:rsid w:val="006E35A4"/>
    <w:pPr>
      <w:tabs>
        <w:tab w:val="center" w:pos="4536"/>
        <w:tab w:val="right" w:pos="9072"/>
      </w:tabs>
    </w:pPr>
  </w:style>
  <w:style w:type="character" w:customStyle="1" w:styleId="GlavaZnak">
    <w:name w:val="Glava Znak"/>
    <w:basedOn w:val="Privzetapisavaodstavka"/>
    <w:link w:val="Glava"/>
    <w:uiPriority w:val="99"/>
    <w:rsid w:val="006E35A4"/>
  </w:style>
  <w:style w:type="paragraph" w:styleId="Noga">
    <w:name w:val="footer"/>
    <w:basedOn w:val="Navaden"/>
    <w:link w:val="NogaZnak"/>
    <w:uiPriority w:val="99"/>
    <w:unhideWhenUsed/>
    <w:rsid w:val="006E35A4"/>
    <w:pPr>
      <w:tabs>
        <w:tab w:val="center" w:pos="4536"/>
        <w:tab w:val="right" w:pos="9072"/>
      </w:tabs>
    </w:pPr>
  </w:style>
  <w:style w:type="character" w:customStyle="1" w:styleId="NogaZnak">
    <w:name w:val="Noga Znak"/>
    <w:basedOn w:val="Privzetapisavaodstavka"/>
    <w:link w:val="Noga"/>
    <w:uiPriority w:val="99"/>
    <w:rsid w:val="006E35A4"/>
  </w:style>
  <w:style w:type="paragraph" w:styleId="Telobesedila">
    <w:name w:val="Body Text"/>
    <w:basedOn w:val="Navaden"/>
    <w:link w:val="TelobesedilaZnak"/>
    <w:rsid w:val="00054C82"/>
    <w:pPr>
      <w:suppressAutoHyphens/>
      <w:jc w:val="both"/>
    </w:pPr>
    <w:rPr>
      <w:sz w:val="24"/>
      <w:lang w:eastAsia="zh-CN"/>
    </w:rPr>
  </w:style>
  <w:style w:type="character" w:customStyle="1" w:styleId="TelobesedilaZnak">
    <w:name w:val="Telo besedila Znak"/>
    <w:basedOn w:val="Privzetapisavaodstavka"/>
    <w:link w:val="Telobesedila"/>
    <w:rsid w:val="00054C82"/>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00916">
      <w:bodyDiv w:val="1"/>
      <w:marLeft w:val="0"/>
      <w:marRight w:val="0"/>
      <w:marTop w:val="0"/>
      <w:marBottom w:val="0"/>
      <w:divBdr>
        <w:top w:val="none" w:sz="0" w:space="0" w:color="auto"/>
        <w:left w:val="none" w:sz="0" w:space="0" w:color="auto"/>
        <w:bottom w:val="none" w:sz="0" w:space="0" w:color="auto"/>
        <w:right w:val="none" w:sz="0" w:space="0" w:color="auto"/>
      </w:divBdr>
    </w:div>
    <w:div w:id="662394817">
      <w:bodyDiv w:val="1"/>
      <w:marLeft w:val="0"/>
      <w:marRight w:val="0"/>
      <w:marTop w:val="0"/>
      <w:marBottom w:val="0"/>
      <w:divBdr>
        <w:top w:val="none" w:sz="0" w:space="0" w:color="auto"/>
        <w:left w:val="none" w:sz="0" w:space="0" w:color="auto"/>
        <w:bottom w:val="none" w:sz="0" w:space="0" w:color="auto"/>
        <w:right w:val="none" w:sz="0" w:space="0" w:color="auto"/>
      </w:divBdr>
    </w:div>
    <w:div w:id="11857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FA1ED2-F41D-4CFE-8DE1-FED95A3A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marta10</dc:creator>
  <cp:keywords/>
  <dc:description/>
  <cp:lastModifiedBy>Alenka Mesojedec</cp:lastModifiedBy>
  <cp:revision>2</cp:revision>
  <cp:lastPrinted>2018-02-21T15:30:00Z</cp:lastPrinted>
  <dcterms:created xsi:type="dcterms:W3CDTF">2021-03-23T13:12:00Z</dcterms:created>
  <dcterms:modified xsi:type="dcterms:W3CDTF">2021-03-23T13:12:00Z</dcterms:modified>
</cp:coreProperties>
</file>